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1BE" w:rsidRDefault="00CC01BE" w:rsidP="00EC22B2">
      <w:pPr>
        <w:pStyle w:val="Titel"/>
        <w:rPr>
          <w:lang w:val="en-US"/>
        </w:rPr>
      </w:pPr>
      <w:r>
        <w:rPr>
          <w:lang w:val="en-US"/>
        </w:rPr>
        <w:t>IWRAP models of two areas in the Baltic</w:t>
      </w:r>
    </w:p>
    <w:p w:rsidR="00475473" w:rsidRDefault="00475473" w:rsidP="0005306F">
      <w:pPr>
        <w:pStyle w:val="Overskrift1"/>
        <w:rPr>
          <w:lang w:val="en-US"/>
        </w:rPr>
      </w:pPr>
      <w:r>
        <w:rPr>
          <w:lang w:val="en-US"/>
        </w:rPr>
        <w:t>Summary</w:t>
      </w:r>
    </w:p>
    <w:p w:rsidR="00475473" w:rsidRPr="00475473" w:rsidRDefault="00475473" w:rsidP="00475473">
      <w:pPr>
        <w:rPr>
          <w:lang w:val="en-US"/>
        </w:rPr>
      </w:pPr>
      <w:r>
        <w:rPr>
          <w:lang w:val="en-US"/>
        </w:rPr>
        <w:t xml:space="preserve">In this </w:t>
      </w:r>
      <w:r w:rsidR="00EC22B2">
        <w:rPr>
          <w:lang w:val="en-US"/>
        </w:rPr>
        <w:t>note</w:t>
      </w:r>
      <w:r>
        <w:rPr>
          <w:lang w:val="en-US"/>
        </w:rPr>
        <w:t xml:space="preserve"> two </w:t>
      </w:r>
      <w:r w:rsidR="00C45DFB">
        <w:rPr>
          <w:lang w:val="en-US"/>
        </w:rPr>
        <w:t xml:space="preserve">fairway </w:t>
      </w:r>
      <w:r>
        <w:rPr>
          <w:lang w:val="en-US"/>
        </w:rPr>
        <w:t>areas</w:t>
      </w:r>
      <w:r w:rsidR="00E64283">
        <w:rPr>
          <w:lang w:val="en-US"/>
        </w:rPr>
        <w:t xml:space="preserve"> (Great Belt </w:t>
      </w:r>
      <w:r w:rsidR="00240A76">
        <w:rPr>
          <w:lang w:val="en-US"/>
        </w:rPr>
        <w:t xml:space="preserve">of Denmark </w:t>
      </w:r>
      <w:r w:rsidR="00E64283">
        <w:rPr>
          <w:lang w:val="en-US"/>
        </w:rPr>
        <w:t xml:space="preserve">and </w:t>
      </w:r>
      <w:r w:rsidR="00240A76">
        <w:rPr>
          <w:lang w:val="en-US"/>
        </w:rPr>
        <w:t xml:space="preserve">the </w:t>
      </w:r>
      <w:r w:rsidR="00E64283">
        <w:rPr>
          <w:lang w:val="en-US"/>
        </w:rPr>
        <w:t>Gulf of Finland)</w:t>
      </w:r>
      <w:r>
        <w:rPr>
          <w:lang w:val="en-US"/>
        </w:rPr>
        <w:t xml:space="preserve"> in the Baltic </w:t>
      </w:r>
      <w:r w:rsidR="00240A76">
        <w:rPr>
          <w:lang w:val="en-US"/>
        </w:rPr>
        <w:t xml:space="preserve">Sea </w:t>
      </w:r>
      <w:r>
        <w:rPr>
          <w:lang w:val="en-US"/>
        </w:rPr>
        <w:t xml:space="preserve">are modeled using the </w:t>
      </w:r>
      <w:r w:rsidR="00240A76">
        <w:rPr>
          <w:lang w:val="en-US"/>
        </w:rPr>
        <w:t>Integrated Waterway Risk Assessment Programme</w:t>
      </w:r>
      <w:r>
        <w:rPr>
          <w:lang w:val="en-US"/>
        </w:rPr>
        <w:t xml:space="preserve"> </w:t>
      </w:r>
      <w:r w:rsidR="00240A76">
        <w:rPr>
          <w:lang w:val="en-US"/>
        </w:rPr>
        <w:t xml:space="preserve">(IWRAP) </w:t>
      </w:r>
      <w:r>
        <w:rPr>
          <w:lang w:val="en-US"/>
        </w:rPr>
        <w:t xml:space="preserve">tool </w:t>
      </w:r>
      <w:r w:rsidR="00240A76">
        <w:rPr>
          <w:lang w:val="en-US"/>
        </w:rPr>
        <w:t xml:space="preserve">developed </w:t>
      </w:r>
      <w:r w:rsidR="00C45DFB">
        <w:rPr>
          <w:lang w:val="en-US"/>
        </w:rPr>
        <w:t xml:space="preserve">and used i.a. </w:t>
      </w:r>
      <w:r w:rsidR="00240A76">
        <w:rPr>
          <w:lang w:val="en-US"/>
        </w:rPr>
        <w:t>by the International Association of Aids to Navigation and Lighthouse Authorities (</w:t>
      </w:r>
      <w:r>
        <w:rPr>
          <w:lang w:val="en-US"/>
        </w:rPr>
        <w:t>I</w:t>
      </w:r>
      <w:r w:rsidR="00240A76">
        <w:rPr>
          <w:lang w:val="en-US"/>
        </w:rPr>
        <w:t>ALA)</w:t>
      </w:r>
      <w:r>
        <w:rPr>
          <w:lang w:val="en-US"/>
        </w:rPr>
        <w:t>. The purpose is to estimate the number of collisions and groundings today and in the future (2030)</w:t>
      </w:r>
      <w:r w:rsidR="00E64283">
        <w:rPr>
          <w:lang w:val="en-US"/>
        </w:rPr>
        <w:t>. The number of ships in 2030 is</w:t>
      </w:r>
      <w:r>
        <w:rPr>
          <w:lang w:val="en-US"/>
        </w:rPr>
        <w:t xml:space="preserve"> found using the values </w:t>
      </w:r>
      <w:r w:rsidR="003C55D0">
        <w:rPr>
          <w:lang w:val="en-US"/>
        </w:rPr>
        <w:t xml:space="preserve">for increase in traded volumes </w:t>
      </w:r>
      <w:r w:rsidR="00240A76">
        <w:rPr>
          <w:lang w:val="en-US"/>
        </w:rPr>
        <w:t>published</w:t>
      </w:r>
      <w:r w:rsidR="00E64283">
        <w:rPr>
          <w:lang w:val="en-US"/>
        </w:rPr>
        <w:t xml:space="preserve"> in</w:t>
      </w:r>
      <w:r>
        <w:rPr>
          <w:lang w:val="en-US"/>
        </w:rPr>
        <w:t xml:space="preserve"> </w:t>
      </w:r>
      <w:r w:rsidR="003C55D0">
        <w:rPr>
          <w:lang w:val="en-US"/>
        </w:rPr>
        <w:t xml:space="preserve">the </w:t>
      </w:r>
      <w:r w:rsidRPr="003C55D0">
        <w:rPr>
          <w:i/>
          <w:lang w:val="en-US"/>
        </w:rPr>
        <w:t xml:space="preserve">Baltic Transport Outlook </w:t>
      </w:r>
      <w:r w:rsidR="003C55D0" w:rsidRPr="003C55D0">
        <w:rPr>
          <w:i/>
          <w:lang w:val="en-US"/>
        </w:rPr>
        <w:t>2030</w:t>
      </w:r>
      <w:r w:rsidR="00EC22B2">
        <w:rPr>
          <w:rStyle w:val="Fodnotehenvisning"/>
          <w:i/>
          <w:lang w:val="en-US"/>
        </w:rPr>
        <w:footnoteReference w:id="1"/>
      </w:r>
      <w:r w:rsidR="003C55D0">
        <w:rPr>
          <w:lang w:val="en-US"/>
        </w:rPr>
        <w:t>. This does not account for the fact that some ships will probably increase in size and that the ships of 2030 will most likely be safer than the ships of 2010. The estimated collision and gro</w:t>
      </w:r>
      <w:r w:rsidR="00240A76">
        <w:rPr>
          <w:lang w:val="en-US"/>
        </w:rPr>
        <w:t>unding frequencies should there</w:t>
      </w:r>
      <w:r w:rsidR="003C55D0">
        <w:rPr>
          <w:lang w:val="en-US"/>
        </w:rPr>
        <w:t>for</w:t>
      </w:r>
      <w:r w:rsidR="00240A76">
        <w:rPr>
          <w:lang w:val="en-US"/>
        </w:rPr>
        <w:t>e be considered the</w:t>
      </w:r>
      <w:r w:rsidR="00E64283">
        <w:rPr>
          <w:lang w:val="en-US"/>
        </w:rPr>
        <w:t xml:space="preserve"> </w:t>
      </w:r>
      <w:r w:rsidR="003C55D0">
        <w:rPr>
          <w:lang w:val="en-US"/>
        </w:rPr>
        <w:t>worst</w:t>
      </w:r>
      <w:r w:rsidR="00E64283">
        <w:rPr>
          <w:lang w:val="en-US"/>
        </w:rPr>
        <w:t xml:space="preserve"> case if no improvements happen</w:t>
      </w:r>
      <w:r w:rsidR="003C55D0">
        <w:rPr>
          <w:lang w:val="en-US"/>
        </w:rPr>
        <w:t>.</w:t>
      </w:r>
      <w:r w:rsidR="004F0485">
        <w:rPr>
          <w:lang w:val="en-US"/>
        </w:rPr>
        <w:t xml:space="preserve"> It is found that the </w:t>
      </w:r>
      <w:r w:rsidR="0014553B">
        <w:rPr>
          <w:lang w:val="en-US"/>
        </w:rPr>
        <w:t>absolute number of collisions increases by 80 % and the absolute number of grounding</w:t>
      </w:r>
      <w:r w:rsidR="00E64283">
        <w:rPr>
          <w:lang w:val="en-US"/>
        </w:rPr>
        <w:t>s</w:t>
      </w:r>
      <w:r w:rsidR="0014553B">
        <w:rPr>
          <w:lang w:val="en-US"/>
        </w:rPr>
        <w:t xml:space="preserve"> increases by 40 %. However when normalized by the number of ships, the increase in collisions </w:t>
      </w:r>
      <w:r w:rsidR="00E64283">
        <w:rPr>
          <w:lang w:val="en-US"/>
        </w:rPr>
        <w:t xml:space="preserve">is </w:t>
      </w:r>
      <w:r w:rsidR="0014553B">
        <w:rPr>
          <w:lang w:val="en-US"/>
        </w:rPr>
        <w:t>40% and the increase in groundings is 10 %. Grounding analysis has only been carried out for the Great Belt area.</w:t>
      </w:r>
      <w:r w:rsidR="00E64283">
        <w:rPr>
          <w:lang w:val="en-US"/>
        </w:rPr>
        <w:t xml:space="preserve"> Only </w:t>
      </w:r>
      <w:r w:rsidR="00240A76">
        <w:rPr>
          <w:lang w:val="en-US"/>
        </w:rPr>
        <w:t xml:space="preserve">vessels </w:t>
      </w:r>
      <w:r w:rsidR="00E64283">
        <w:rPr>
          <w:lang w:val="en-US"/>
        </w:rPr>
        <w:t xml:space="preserve">equipped </w:t>
      </w:r>
      <w:r w:rsidR="00240A76">
        <w:rPr>
          <w:lang w:val="en-US"/>
        </w:rPr>
        <w:t>with Automat</w:t>
      </w:r>
      <w:r w:rsidR="00C45DFB">
        <w:rPr>
          <w:lang w:val="en-US"/>
        </w:rPr>
        <w:t>i</w:t>
      </w:r>
      <w:r w:rsidR="00240A76">
        <w:rPr>
          <w:lang w:val="en-US"/>
        </w:rPr>
        <w:t xml:space="preserve">c Identification System (AIS) </w:t>
      </w:r>
      <w:r w:rsidR="00E64283">
        <w:rPr>
          <w:lang w:val="en-US"/>
        </w:rPr>
        <w:t>have been included.</w:t>
      </w:r>
    </w:p>
    <w:p w:rsidR="00FA7AC8" w:rsidRPr="00F47A4A" w:rsidRDefault="00F47A4A" w:rsidP="0005306F">
      <w:pPr>
        <w:pStyle w:val="Overskrift1"/>
        <w:rPr>
          <w:lang w:val="en-US"/>
        </w:rPr>
      </w:pPr>
      <w:r w:rsidRPr="00F47A4A">
        <w:rPr>
          <w:lang w:val="en-US"/>
        </w:rPr>
        <w:t>Method</w:t>
      </w:r>
    </w:p>
    <w:p w:rsidR="00F47A4A" w:rsidRDefault="00CC01BE">
      <w:pPr>
        <w:rPr>
          <w:lang w:val="en-US"/>
        </w:rPr>
      </w:pPr>
      <w:r>
        <w:rPr>
          <w:lang w:val="en-US"/>
        </w:rPr>
        <w:t>The</w:t>
      </w:r>
      <w:r w:rsidR="00F47A4A">
        <w:rPr>
          <w:lang w:val="en-US"/>
        </w:rPr>
        <w:t xml:space="preserve"> </w:t>
      </w:r>
      <w:r w:rsidR="00F47A4A" w:rsidRPr="0083520E">
        <w:rPr>
          <w:lang w:val="en-US"/>
        </w:rPr>
        <w:t>model</w:t>
      </w:r>
      <w:r>
        <w:rPr>
          <w:lang w:val="en-US"/>
        </w:rPr>
        <w:t>s have</w:t>
      </w:r>
      <w:r w:rsidR="00F47A4A" w:rsidRPr="0083520E">
        <w:rPr>
          <w:lang w:val="en-US"/>
        </w:rPr>
        <w:t xml:space="preserve"> been created using the IALA risk tool IWRAP</w:t>
      </w:r>
      <w:r w:rsidR="00F47A4A">
        <w:rPr>
          <w:rStyle w:val="Fodnotehenvisning"/>
          <w:lang w:val="en-US"/>
        </w:rPr>
        <w:footnoteReference w:id="2"/>
      </w:r>
      <w:r w:rsidR="00F47A4A" w:rsidRPr="0083520E">
        <w:rPr>
          <w:lang w:val="en-US"/>
        </w:rPr>
        <w:t>.</w:t>
      </w:r>
      <w:r w:rsidR="00F47A4A">
        <w:rPr>
          <w:lang w:val="en-US"/>
        </w:rPr>
        <w:t xml:space="preserve"> The method uses the actual traffic volume and traffic pattern to calculate the number of geometrical collisions (The number of collisions that would occur if the navigator sails blindfold).  This number is then multiplied by a causation factor. </w:t>
      </w:r>
      <w:r w:rsidR="00F47A4A" w:rsidRPr="0083520E">
        <w:rPr>
          <w:lang w:val="en-US"/>
        </w:rPr>
        <w:t>The causation factor expresses the probability that the navigator does not do as he or she is supposed to do. It is in the order of 10</w:t>
      </w:r>
      <w:r w:rsidR="00F47A4A" w:rsidRPr="0083520E">
        <w:rPr>
          <w:vertAlign w:val="superscript"/>
          <w:lang w:val="en-US"/>
        </w:rPr>
        <w:t>-4</w:t>
      </w:r>
      <w:r w:rsidR="00F47A4A" w:rsidRPr="0083520E">
        <w:rPr>
          <w:lang w:val="en-US"/>
        </w:rPr>
        <w:t>. So once</w:t>
      </w:r>
      <w:r w:rsidR="00F47A4A">
        <w:rPr>
          <w:lang w:val="en-US"/>
        </w:rPr>
        <w:t xml:space="preserve"> or twice</w:t>
      </w:r>
      <w:r w:rsidR="00F47A4A" w:rsidRPr="0083520E">
        <w:rPr>
          <w:lang w:val="en-US"/>
        </w:rPr>
        <w:t xml:space="preserve"> in 10</w:t>
      </w:r>
      <w:r w:rsidR="00C77563">
        <w:rPr>
          <w:lang w:val="en-US"/>
        </w:rPr>
        <w:t>,</w:t>
      </w:r>
      <w:r w:rsidR="00F47A4A" w:rsidRPr="0083520E">
        <w:rPr>
          <w:lang w:val="en-US"/>
        </w:rPr>
        <w:t xml:space="preserve">000 </w:t>
      </w:r>
      <w:r w:rsidR="00F47A4A">
        <w:rPr>
          <w:lang w:val="en-US"/>
        </w:rPr>
        <w:t>situations</w:t>
      </w:r>
      <w:r w:rsidR="00F47A4A" w:rsidRPr="0083520E">
        <w:rPr>
          <w:lang w:val="en-US"/>
        </w:rPr>
        <w:t xml:space="preserve"> things go wrong.</w:t>
      </w:r>
      <w:r w:rsidR="00F47A4A">
        <w:rPr>
          <w:lang w:val="en-US"/>
        </w:rPr>
        <w:t xml:space="preserve"> The outcome of the model is the number of collisions</w:t>
      </w:r>
      <w:r w:rsidR="00C77563">
        <w:rPr>
          <w:lang w:val="en-US"/>
        </w:rPr>
        <w:t>/groundings</w:t>
      </w:r>
      <w:r w:rsidR="00F47A4A">
        <w:rPr>
          <w:lang w:val="en-US"/>
        </w:rPr>
        <w:t xml:space="preserve"> per year. The methods have been developed over the years starting by Fuji in 1974, la</w:t>
      </w:r>
      <w:r w:rsidR="00C77563">
        <w:rPr>
          <w:lang w:val="en-US"/>
        </w:rPr>
        <w:t>t</w:t>
      </w:r>
      <w:r w:rsidR="00F47A4A">
        <w:rPr>
          <w:lang w:val="en-US"/>
        </w:rPr>
        <w:t>ter by Petersen and Friis-Hansen.</w:t>
      </w:r>
    </w:p>
    <w:p w:rsidR="00F47A4A" w:rsidRDefault="00F47A4A">
      <w:pPr>
        <w:rPr>
          <w:lang w:val="en-US"/>
        </w:rPr>
      </w:pPr>
      <w:r>
        <w:rPr>
          <w:lang w:val="en-US"/>
        </w:rPr>
        <w:t>To model the situation in 2030 it is assumed that the routes and sailing pattern is unchanged. The number of ships</w:t>
      </w:r>
      <w:r w:rsidR="006D3DB3">
        <w:rPr>
          <w:lang w:val="en-US"/>
        </w:rPr>
        <w:t xml:space="preserve"> in 2030</w:t>
      </w:r>
      <w:r>
        <w:rPr>
          <w:lang w:val="en-US"/>
        </w:rPr>
        <w:t xml:space="preserve"> is found using the values in </w:t>
      </w:r>
      <w:r w:rsidR="006D3DB3">
        <w:rPr>
          <w:lang w:val="en-US"/>
        </w:rPr>
        <w:t>Baltic Transport Outlook 2030. It is here assumed that the increase in traded maritime volume correspond to an increase in the number of ships. It is</w:t>
      </w:r>
      <w:r w:rsidR="00240A76">
        <w:rPr>
          <w:lang w:val="en-US"/>
        </w:rPr>
        <w:t>, however,</w:t>
      </w:r>
      <w:r w:rsidR="006D3DB3">
        <w:rPr>
          <w:lang w:val="en-US"/>
        </w:rPr>
        <w:t xml:space="preserve"> </w:t>
      </w:r>
      <w:r w:rsidR="00EC22B2">
        <w:rPr>
          <w:lang w:val="en-US"/>
        </w:rPr>
        <w:t>very likely</w:t>
      </w:r>
      <w:r w:rsidR="006D3DB3">
        <w:rPr>
          <w:lang w:val="en-US"/>
        </w:rPr>
        <w:t xml:space="preserve"> that </w:t>
      </w:r>
      <w:r w:rsidR="00014FF2">
        <w:rPr>
          <w:lang w:val="en-US"/>
        </w:rPr>
        <w:t xml:space="preserve">many of </w:t>
      </w:r>
      <w:r w:rsidR="006D3DB3">
        <w:rPr>
          <w:lang w:val="en-US"/>
        </w:rPr>
        <w:t>the ships will increase in size instead.</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4889"/>
      </w:tblGrid>
      <w:tr w:rsidR="00475473" w:rsidTr="00475473">
        <w:tc>
          <w:tcPr>
            <w:tcW w:w="4889" w:type="dxa"/>
          </w:tcPr>
          <w:p w:rsidR="00475473" w:rsidRDefault="00475473">
            <w:pPr>
              <w:rPr>
                <w:lang w:val="en-US"/>
              </w:rPr>
            </w:pPr>
            <w:r>
              <w:rPr>
                <w:noProof/>
                <w:lang w:eastAsia="da-DK"/>
              </w:rPr>
              <w:lastRenderedPageBreak/>
              <w:drawing>
                <wp:inline distT="0" distB="0" distL="0" distR="0">
                  <wp:extent cx="2705100" cy="1838417"/>
                  <wp:effectExtent l="19050" t="0" r="0" b="0"/>
                  <wp:docPr id="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719376" cy="1848119"/>
                          </a:xfrm>
                          <a:prstGeom prst="rect">
                            <a:avLst/>
                          </a:prstGeom>
                          <a:noFill/>
                          <a:ln w="9525">
                            <a:noFill/>
                            <a:miter lim="800000"/>
                            <a:headEnd/>
                            <a:tailEnd/>
                          </a:ln>
                        </pic:spPr>
                      </pic:pic>
                    </a:graphicData>
                  </a:graphic>
                </wp:inline>
              </w:drawing>
            </w:r>
          </w:p>
        </w:tc>
        <w:tc>
          <w:tcPr>
            <w:tcW w:w="4889" w:type="dxa"/>
          </w:tcPr>
          <w:p w:rsidR="00475473" w:rsidRDefault="00475473" w:rsidP="00EC22B2">
            <w:pPr>
              <w:rPr>
                <w:lang w:val="en-US"/>
              </w:rPr>
            </w:pPr>
            <w:r>
              <w:rPr>
                <w:noProof/>
                <w:lang w:eastAsia="da-DK"/>
              </w:rPr>
              <w:drawing>
                <wp:inline distT="0" distB="0" distL="0" distR="0">
                  <wp:extent cx="1295400" cy="1733842"/>
                  <wp:effectExtent l="19050" t="0" r="0" b="0"/>
                  <wp:docPr id="6"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98340" cy="1737778"/>
                          </a:xfrm>
                          <a:prstGeom prst="rect">
                            <a:avLst/>
                          </a:prstGeom>
                          <a:noFill/>
                          <a:ln w="9525">
                            <a:noFill/>
                            <a:miter lim="800000"/>
                            <a:headEnd/>
                            <a:tailEnd/>
                          </a:ln>
                        </pic:spPr>
                      </pic:pic>
                    </a:graphicData>
                  </a:graphic>
                </wp:inline>
              </w:drawing>
            </w:r>
          </w:p>
        </w:tc>
      </w:tr>
    </w:tbl>
    <w:p w:rsidR="006D3DB3" w:rsidRPr="0005306F" w:rsidRDefault="006D3DB3">
      <w:pPr>
        <w:rPr>
          <w:i/>
          <w:lang w:val="en-US"/>
        </w:rPr>
      </w:pPr>
      <w:r w:rsidRPr="0005306F">
        <w:rPr>
          <w:i/>
          <w:lang w:val="en-US"/>
        </w:rPr>
        <w:t>Factor to mult</w:t>
      </w:r>
      <w:r w:rsidR="00475473">
        <w:rPr>
          <w:i/>
          <w:lang w:val="en-US"/>
        </w:rPr>
        <w:t xml:space="preserve">iply the number of ships in </w:t>
      </w:r>
      <w:r w:rsidR="00EC22B2">
        <w:rPr>
          <w:i/>
          <w:lang w:val="en-US"/>
        </w:rPr>
        <w:t>2011</w:t>
      </w:r>
      <w:r w:rsidRPr="0005306F">
        <w:rPr>
          <w:i/>
          <w:lang w:val="en-US"/>
        </w:rPr>
        <w:t xml:space="preserve"> to get the number of ships in 2030</w:t>
      </w:r>
    </w:p>
    <w:p w:rsidR="00CA5D6C" w:rsidRDefault="00CA5D6C" w:rsidP="0005306F">
      <w:pPr>
        <w:pStyle w:val="Overskrift1"/>
        <w:rPr>
          <w:lang w:val="en-US"/>
        </w:rPr>
      </w:pPr>
      <w:r w:rsidRPr="00F47A4A">
        <w:rPr>
          <w:lang w:val="en-US"/>
        </w:rPr>
        <w:t>Gulf of Finland</w:t>
      </w:r>
    </w:p>
    <w:p w:rsidR="00E64283" w:rsidRPr="00E64283" w:rsidRDefault="00E64283" w:rsidP="00E64283">
      <w:pPr>
        <w:rPr>
          <w:lang w:val="en-US"/>
        </w:rPr>
      </w:pPr>
    </w:p>
    <w:p w:rsidR="001119D8" w:rsidRDefault="00E64283">
      <w:pPr>
        <w:rPr>
          <w:i/>
          <w:lang w:val="en-US"/>
        </w:rPr>
      </w:pPr>
      <w:r>
        <w:rPr>
          <w:noProof/>
          <w:lang w:eastAsia="da-DK"/>
        </w:rPr>
        <w:drawing>
          <wp:inline distT="0" distB="0" distL="0" distR="0">
            <wp:extent cx="6134100" cy="3838575"/>
            <wp:effectExtent l="19050" t="0" r="0" b="0"/>
            <wp:docPr id="2"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34100" cy="3838575"/>
                    </a:xfrm>
                    <a:prstGeom prst="rect">
                      <a:avLst/>
                    </a:prstGeom>
                    <a:noFill/>
                    <a:ln w="9525">
                      <a:noFill/>
                      <a:miter lim="800000"/>
                      <a:headEnd/>
                      <a:tailEnd/>
                    </a:ln>
                  </pic:spPr>
                </pic:pic>
              </a:graphicData>
            </a:graphic>
          </wp:inline>
        </w:drawing>
      </w:r>
      <w:r w:rsidR="001119D8" w:rsidRPr="0005306F">
        <w:rPr>
          <w:i/>
          <w:lang w:val="en-US"/>
        </w:rPr>
        <w:t>Density</w:t>
      </w:r>
      <w:r w:rsidR="00475473">
        <w:rPr>
          <w:i/>
          <w:lang w:val="en-US"/>
        </w:rPr>
        <w:t xml:space="preserve"> </w:t>
      </w:r>
      <w:r w:rsidR="001119D8" w:rsidRPr="0005306F">
        <w:rPr>
          <w:i/>
          <w:lang w:val="en-US"/>
        </w:rPr>
        <w:t xml:space="preserve">plot and </w:t>
      </w:r>
      <w:r w:rsidR="00081D4D" w:rsidRPr="0005306F">
        <w:rPr>
          <w:i/>
          <w:lang w:val="en-US"/>
        </w:rPr>
        <w:t>corresponding</w:t>
      </w:r>
      <w:r w:rsidR="001119D8" w:rsidRPr="0005306F">
        <w:rPr>
          <w:i/>
          <w:lang w:val="en-US"/>
        </w:rPr>
        <w:t xml:space="preserve"> legs with lateral distributions 2011</w:t>
      </w:r>
    </w:p>
    <w:p w:rsidR="00E64283" w:rsidRPr="002F4F58" w:rsidRDefault="00E64283">
      <w:pPr>
        <w:rPr>
          <w:lang w:val="en-US"/>
        </w:rPr>
      </w:pPr>
    </w:p>
    <w:p w:rsidR="001119D8" w:rsidRPr="001119D8" w:rsidRDefault="00174D1D">
      <w:pPr>
        <w:rPr>
          <w:lang w:val="en-US"/>
        </w:rPr>
      </w:pPr>
      <w:r w:rsidRPr="00174D1D">
        <w:rPr>
          <w:noProof/>
          <w:lang w:eastAsia="da-DK"/>
        </w:rPr>
        <w:lastRenderedPageBreak/>
        <w:drawing>
          <wp:inline distT="0" distB="0" distL="0" distR="0">
            <wp:extent cx="4143375" cy="3031955"/>
            <wp:effectExtent l="19050" t="0" r="9525" b="0"/>
            <wp:docPr id="9"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43375" cy="3031955"/>
                    </a:xfrm>
                    <a:prstGeom prst="rect">
                      <a:avLst/>
                    </a:prstGeom>
                    <a:noFill/>
                    <a:ln w="9525">
                      <a:noFill/>
                      <a:miter lim="800000"/>
                      <a:headEnd/>
                      <a:tailEnd/>
                    </a:ln>
                  </pic:spPr>
                </pic:pic>
              </a:graphicData>
            </a:graphic>
          </wp:inline>
        </w:drawing>
      </w:r>
      <w:r w:rsidR="00DD5B05">
        <w:rPr>
          <w:lang w:val="en-US"/>
        </w:rPr>
        <w:br/>
      </w:r>
      <w:proofErr w:type="gramStart"/>
      <w:r w:rsidR="00DD5B05" w:rsidRPr="0005306F">
        <w:rPr>
          <w:i/>
          <w:lang w:val="en-US"/>
        </w:rPr>
        <w:t>T</w:t>
      </w:r>
      <w:r w:rsidR="002F4F58" w:rsidRPr="0005306F">
        <w:rPr>
          <w:i/>
          <w:lang w:val="en-US"/>
        </w:rPr>
        <w:t>raffic 20</w:t>
      </w:r>
      <w:r w:rsidR="00DD5B05" w:rsidRPr="0005306F">
        <w:rPr>
          <w:i/>
          <w:lang w:val="en-US"/>
        </w:rPr>
        <w:t>11 on leg 2 and leg 28.</w:t>
      </w:r>
      <w:proofErr w:type="gramEnd"/>
      <w:r w:rsidR="00DD5B05" w:rsidRPr="0005306F">
        <w:rPr>
          <w:i/>
          <w:lang w:val="en-US"/>
        </w:rPr>
        <w:t xml:space="preserve"> The outer left legs in the figure above</w:t>
      </w:r>
    </w:p>
    <w:p w:rsidR="00014FF2" w:rsidRDefault="007472AC" w:rsidP="0005306F">
      <w:pPr>
        <w:pStyle w:val="Overskrift2"/>
        <w:rPr>
          <w:lang w:val="en-US"/>
        </w:rPr>
      </w:pPr>
      <w:r>
        <w:rPr>
          <w:lang w:val="en-US"/>
        </w:rPr>
        <w:t>Gulf of Finland results</w:t>
      </w:r>
    </w:p>
    <w:p w:rsidR="00087CFF" w:rsidRDefault="00087CFF" w:rsidP="00087CFF">
      <w:pPr>
        <w:rPr>
          <w:lang w:val="en-US"/>
        </w:rPr>
      </w:pPr>
    </w:p>
    <w:p w:rsidR="00087CFF" w:rsidRDefault="00087CFF" w:rsidP="00087CFF">
      <w:pPr>
        <w:rPr>
          <w:lang w:val="en-US"/>
        </w:rPr>
      </w:pPr>
      <w:r>
        <w:rPr>
          <w:lang w:val="en-US"/>
        </w:rPr>
        <w:t xml:space="preserve">In order for the IWRAP model to reproduce the actual historical </w:t>
      </w:r>
      <w:r w:rsidR="0014553B">
        <w:rPr>
          <w:lang w:val="en-US"/>
        </w:rPr>
        <w:t xml:space="preserve">collision values, </w:t>
      </w:r>
      <w:r>
        <w:rPr>
          <w:lang w:val="en-US"/>
        </w:rPr>
        <w:t xml:space="preserve">the causation factors for the passenger ships </w:t>
      </w:r>
      <w:r w:rsidR="00240A76">
        <w:rPr>
          <w:lang w:val="en-US"/>
        </w:rPr>
        <w:t>crossing the Gulf of Finland have</w:t>
      </w:r>
      <w:r>
        <w:rPr>
          <w:lang w:val="en-US"/>
        </w:rPr>
        <w:t xml:space="preserve"> been increased by a </w:t>
      </w:r>
      <w:proofErr w:type="gramStart"/>
      <w:r>
        <w:rPr>
          <w:lang w:val="en-US"/>
        </w:rPr>
        <w:t xml:space="preserve">factor </w:t>
      </w:r>
      <w:r w:rsidR="0026408A">
        <w:rPr>
          <w:lang w:val="en-US"/>
        </w:rPr>
        <w:t xml:space="preserve"> </w:t>
      </w:r>
      <w:r w:rsidR="0014553B">
        <w:rPr>
          <w:lang w:val="en-US"/>
        </w:rPr>
        <w:t>10</w:t>
      </w:r>
      <w:proofErr w:type="gramEnd"/>
      <w:r w:rsidR="0014553B">
        <w:rPr>
          <w:lang w:val="en-US"/>
        </w:rPr>
        <w:t xml:space="preserve"> </w:t>
      </w:r>
      <w:r>
        <w:rPr>
          <w:lang w:val="en-US"/>
        </w:rPr>
        <w:t>com</w:t>
      </w:r>
      <w:r w:rsidR="0014553B">
        <w:rPr>
          <w:lang w:val="en-US"/>
        </w:rPr>
        <w:t xml:space="preserve">pared to the default causation </w:t>
      </w:r>
      <w:r>
        <w:rPr>
          <w:lang w:val="en-US"/>
        </w:rPr>
        <w:t>values.</w:t>
      </w:r>
      <w:r w:rsidR="005310DE">
        <w:rPr>
          <w:lang w:val="en-US"/>
        </w:rPr>
        <w:t xml:space="preserve"> Whether this is correct need</w:t>
      </w:r>
      <w:r w:rsidR="00240A76">
        <w:rPr>
          <w:lang w:val="en-US"/>
        </w:rPr>
        <w:t>s</w:t>
      </w:r>
      <w:r w:rsidR="005310DE">
        <w:rPr>
          <w:lang w:val="en-US"/>
        </w:rPr>
        <w:t xml:space="preserve"> to be discussed with experts in the region.</w:t>
      </w:r>
    </w:p>
    <w:tbl>
      <w:tblPr>
        <w:tblW w:w="9371" w:type="dxa"/>
        <w:tblInd w:w="55" w:type="dxa"/>
        <w:tblCellMar>
          <w:left w:w="70" w:type="dxa"/>
          <w:right w:w="70" w:type="dxa"/>
        </w:tblCellMar>
        <w:tblLook w:val="04A0"/>
      </w:tblPr>
      <w:tblGrid>
        <w:gridCol w:w="2021"/>
        <w:gridCol w:w="688"/>
        <w:gridCol w:w="587"/>
        <w:gridCol w:w="956"/>
        <w:gridCol w:w="359"/>
        <w:gridCol w:w="729"/>
        <w:gridCol w:w="850"/>
        <w:gridCol w:w="426"/>
        <w:gridCol w:w="850"/>
        <w:gridCol w:w="851"/>
        <w:gridCol w:w="1054"/>
      </w:tblGrid>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val="en-US" w:eastAsia="da-DK"/>
              </w:rPr>
            </w:pPr>
          </w:p>
        </w:tc>
        <w:tc>
          <w:tcPr>
            <w:tcW w:w="1275" w:type="dxa"/>
            <w:gridSpan w:val="2"/>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 xml:space="preserve">Per </w:t>
            </w:r>
            <w:proofErr w:type="spellStart"/>
            <w:r w:rsidRPr="00475473">
              <w:rPr>
                <w:rFonts w:ascii="Calibri" w:eastAsia="Times New Roman" w:hAnsi="Calibri" w:cs="Calibri"/>
                <w:b/>
                <w:bCs/>
                <w:color w:val="000000"/>
                <w:lang w:eastAsia="da-DK"/>
              </w:rPr>
              <w:t>year</w:t>
            </w:r>
            <w:proofErr w:type="spellEnd"/>
          </w:p>
        </w:tc>
        <w:tc>
          <w:tcPr>
            <w:tcW w:w="956"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roofErr w:type="spellStart"/>
            <w:r>
              <w:rPr>
                <w:rFonts w:ascii="Calibri" w:eastAsia="Times New Roman" w:hAnsi="Calibri" w:cs="Calibri"/>
                <w:b/>
                <w:bCs/>
                <w:color w:val="000000"/>
                <w:lang w:eastAsia="da-DK"/>
              </w:rPr>
              <w:t>Increase</w:t>
            </w:r>
            <w:proofErr w:type="spellEnd"/>
          </w:p>
        </w:tc>
        <w:tc>
          <w:tcPr>
            <w:tcW w:w="359"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
        </w:tc>
        <w:tc>
          <w:tcPr>
            <w:tcW w:w="1579" w:type="dxa"/>
            <w:gridSpan w:val="2"/>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proofErr w:type="spellStart"/>
            <w:r w:rsidRPr="00475473">
              <w:rPr>
                <w:rFonts w:ascii="Calibri" w:eastAsia="Times New Roman" w:hAnsi="Calibri" w:cs="Calibri"/>
                <w:b/>
                <w:bCs/>
                <w:color w:val="000000"/>
                <w:lang w:eastAsia="da-DK"/>
              </w:rPr>
              <w:t>Return</w:t>
            </w:r>
            <w:proofErr w:type="spellEnd"/>
            <w:r w:rsidRPr="00475473">
              <w:rPr>
                <w:rFonts w:ascii="Calibri" w:eastAsia="Times New Roman" w:hAnsi="Calibri" w:cs="Calibri"/>
                <w:b/>
                <w:bCs/>
                <w:color w:val="000000"/>
                <w:lang w:eastAsia="da-DK"/>
              </w:rPr>
              <w:t xml:space="preserve"> </w:t>
            </w:r>
            <w:proofErr w:type="spellStart"/>
            <w:r w:rsidRPr="00475473">
              <w:rPr>
                <w:rFonts w:ascii="Calibri" w:eastAsia="Times New Roman" w:hAnsi="Calibri" w:cs="Calibri"/>
                <w:b/>
                <w:bCs/>
                <w:color w:val="000000"/>
                <w:lang w:eastAsia="da-DK"/>
              </w:rPr>
              <w:t>period</w:t>
            </w:r>
            <w:proofErr w:type="spellEnd"/>
          </w:p>
        </w:tc>
        <w:tc>
          <w:tcPr>
            <w:tcW w:w="426"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1701" w:type="dxa"/>
            <w:gridSpan w:val="2"/>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 xml:space="preserve">Per </w:t>
            </w:r>
            <w:proofErr w:type="gramStart"/>
            <w:r w:rsidRPr="00475473">
              <w:rPr>
                <w:rFonts w:ascii="Calibri" w:eastAsia="Times New Roman" w:hAnsi="Calibri" w:cs="Calibri"/>
                <w:b/>
                <w:bCs/>
                <w:color w:val="000000"/>
                <w:lang w:eastAsia="da-DK"/>
              </w:rPr>
              <w:t>10000</w:t>
            </w:r>
            <w:proofErr w:type="gramEnd"/>
            <w:r w:rsidRPr="00475473">
              <w:rPr>
                <w:rFonts w:ascii="Calibri" w:eastAsia="Times New Roman" w:hAnsi="Calibri" w:cs="Calibri"/>
                <w:b/>
                <w:bCs/>
                <w:color w:val="000000"/>
                <w:lang w:eastAsia="da-DK"/>
              </w:rPr>
              <w:t xml:space="preserve"> </w:t>
            </w:r>
            <w:proofErr w:type="spellStart"/>
            <w:r w:rsidRPr="00475473">
              <w:rPr>
                <w:rFonts w:ascii="Calibri" w:eastAsia="Times New Roman" w:hAnsi="Calibri" w:cs="Calibri"/>
                <w:b/>
                <w:bCs/>
                <w:color w:val="000000"/>
                <w:lang w:eastAsia="da-DK"/>
              </w:rPr>
              <w:t>ships</w:t>
            </w:r>
            <w:proofErr w:type="spellEnd"/>
          </w:p>
        </w:tc>
        <w:tc>
          <w:tcPr>
            <w:tcW w:w="1054"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roofErr w:type="spellStart"/>
            <w:r>
              <w:rPr>
                <w:rFonts w:ascii="Calibri" w:eastAsia="Times New Roman" w:hAnsi="Calibri" w:cs="Calibri"/>
                <w:b/>
                <w:bCs/>
                <w:color w:val="000000"/>
                <w:lang w:eastAsia="da-DK"/>
              </w:rPr>
              <w:t>Increase</w:t>
            </w:r>
            <w:proofErr w:type="spellEnd"/>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688"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587"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956"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
        </w:tc>
        <w:tc>
          <w:tcPr>
            <w:tcW w:w="359"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426"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85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1054" w:type="dxa"/>
            <w:tcBorders>
              <w:top w:val="nil"/>
              <w:left w:val="nil"/>
              <w:bottom w:val="nil"/>
              <w:right w:val="nil"/>
            </w:tcBorders>
          </w:tcPr>
          <w:p w:rsidR="00BD59A8" w:rsidRPr="00475473" w:rsidRDefault="00BD59A8" w:rsidP="00D66656">
            <w:pPr>
              <w:spacing w:after="0" w:line="240" w:lineRule="auto"/>
              <w:jc w:val="center"/>
              <w:rPr>
                <w:rFonts w:ascii="Calibri" w:eastAsia="Times New Roman" w:hAnsi="Calibri" w:cs="Calibri"/>
                <w:b/>
                <w:bCs/>
                <w:color w:val="000000"/>
                <w:lang w:eastAsia="da-DK"/>
              </w:rPr>
            </w:pP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14553B" w:rsidRDefault="0014553B" w:rsidP="00D66656">
            <w:pPr>
              <w:spacing w:after="0" w:line="240" w:lineRule="auto"/>
              <w:rPr>
                <w:rFonts w:ascii="Calibri" w:eastAsia="Times New Roman" w:hAnsi="Calibri" w:cs="Calibri"/>
                <w:color w:val="000000"/>
                <w:lang w:eastAsia="da-DK"/>
              </w:rPr>
            </w:pPr>
            <w:proofErr w:type="spellStart"/>
            <w:r>
              <w:rPr>
                <w:rFonts w:ascii="Calibri" w:eastAsia="Times New Roman" w:hAnsi="Calibri" w:cs="Calibri"/>
                <w:color w:val="000000"/>
                <w:lang w:eastAsia="da-DK"/>
              </w:rPr>
              <w:t>Collisions</w:t>
            </w:r>
            <w:proofErr w:type="spellEnd"/>
          </w:p>
          <w:p w:rsidR="00BD59A8" w:rsidRPr="00475473" w:rsidRDefault="00BD59A8" w:rsidP="00D66656">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(default</w:t>
            </w:r>
            <w:r w:rsidR="0014553B">
              <w:rPr>
                <w:rFonts w:ascii="Calibri" w:eastAsia="Times New Roman" w:hAnsi="Calibri" w:cs="Calibri"/>
                <w:color w:val="000000"/>
                <w:lang w:eastAsia="da-DK"/>
              </w:rPr>
              <w:t xml:space="preserve"> factors</w:t>
            </w:r>
            <w:r>
              <w:rPr>
                <w:rFonts w:ascii="Calibri" w:eastAsia="Times New Roman" w:hAnsi="Calibri" w:cs="Calibri"/>
                <w:color w:val="000000"/>
                <w:lang w:eastAsia="da-DK"/>
              </w:rPr>
              <w:t>)</w:t>
            </w:r>
          </w:p>
        </w:tc>
        <w:tc>
          <w:tcPr>
            <w:tcW w:w="688"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0.04</w:t>
            </w:r>
          </w:p>
        </w:tc>
        <w:tc>
          <w:tcPr>
            <w:tcW w:w="587"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0.10</w:t>
            </w:r>
          </w:p>
        </w:tc>
        <w:tc>
          <w:tcPr>
            <w:tcW w:w="956" w:type="dxa"/>
            <w:tcBorders>
              <w:top w:val="nil"/>
              <w:left w:val="nil"/>
              <w:bottom w:val="nil"/>
              <w:right w:val="nil"/>
            </w:tcBorders>
            <w:vAlign w:val="bottom"/>
          </w:tcPr>
          <w:p w:rsidR="00BD59A8" w:rsidRPr="00475473" w:rsidRDefault="00BD59A8" w:rsidP="00D66656">
            <w:pPr>
              <w:spacing w:after="0" w:line="240" w:lineRule="auto"/>
              <w:jc w:val="center"/>
              <w:rPr>
                <w:rFonts w:ascii="Calibri" w:eastAsia="Times New Roman" w:hAnsi="Calibri" w:cs="Calibri"/>
                <w:color w:val="000000"/>
                <w:lang w:eastAsia="da-DK"/>
              </w:rPr>
            </w:pPr>
            <w:r>
              <w:rPr>
                <w:rFonts w:ascii="Calibri" w:eastAsia="Times New Roman" w:hAnsi="Calibri" w:cs="Calibri"/>
                <w:color w:val="000000"/>
                <w:lang w:eastAsia="da-DK"/>
              </w:rPr>
              <w:t>2.5</w:t>
            </w:r>
          </w:p>
        </w:tc>
        <w:tc>
          <w:tcPr>
            <w:tcW w:w="359" w:type="dxa"/>
            <w:tcBorders>
              <w:top w:val="nil"/>
              <w:left w:val="nil"/>
              <w:bottom w:val="nil"/>
              <w:right w:val="nil"/>
            </w:tcBorders>
          </w:tcPr>
          <w:p w:rsidR="00BD59A8" w:rsidRPr="00475473" w:rsidRDefault="00BD59A8" w:rsidP="00D66656">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28</w:t>
            </w: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10</w:t>
            </w:r>
          </w:p>
        </w:tc>
        <w:tc>
          <w:tcPr>
            <w:tcW w:w="426"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0.01</w:t>
            </w:r>
          </w:p>
        </w:tc>
        <w:tc>
          <w:tcPr>
            <w:tcW w:w="85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0.02</w:t>
            </w:r>
          </w:p>
        </w:tc>
        <w:tc>
          <w:tcPr>
            <w:tcW w:w="1054" w:type="dxa"/>
            <w:tcBorders>
              <w:top w:val="nil"/>
              <w:left w:val="nil"/>
              <w:bottom w:val="nil"/>
              <w:right w:val="nil"/>
            </w:tcBorders>
          </w:tcPr>
          <w:p w:rsidR="00BD59A8"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w:t>
            </w: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14553B" w:rsidRDefault="00BD59A8" w:rsidP="00D66656">
            <w:pPr>
              <w:spacing w:after="0" w:line="240" w:lineRule="auto"/>
              <w:rPr>
                <w:rFonts w:ascii="Calibri" w:eastAsia="Times New Roman" w:hAnsi="Calibri" w:cs="Calibri"/>
                <w:color w:val="000000"/>
                <w:lang w:eastAsia="da-DK"/>
              </w:rPr>
            </w:pPr>
            <w:proofErr w:type="spellStart"/>
            <w:r w:rsidRPr="00475473">
              <w:rPr>
                <w:rFonts w:ascii="Calibri" w:eastAsia="Times New Roman" w:hAnsi="Calibri" w:cs="Calibri"/>
                <w:color w:val="000000"/>
                <w:lang w:eastAsia="da-DK"/>
              </w:rPr>
              <w:t>Collisions</w:t>
            </w:r>
            <w:proofErr w:type="spellEnd"/>
          </w:p>
          <w:p w:rsidR="00BD59A8" w:rsidRPr="00475473" w:rsidRDefault="0014553B" w:rsidP="00D66656">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w:t>
            </w:r>
            <w:proofErr w:type="spellStart"/>
            <w:proofErr w:type="gramStart"/>
            <w:r>
              <w:rPr>
                <w:rFonts w:ascii="Calibri" w:eastAsia="Times New Roman" w:hAnsi="Calibri" w:cs="Calibri"/>
                <w:color w:val="000000"/>
                <w:lang w:eastAsia="da-DK"/>
              </w:rPr>
              <w:t>adjusted</w:t>
            </w:r>
            <w:proofErr w:type="spellEnd"/>
            <w:r>
              <w:rPr>
                <w:rFonts w:ascii="Calibri" w:eastAsia="Times New Roman" w:hAnsi="Calibri" w:cs="Calibri"/>
                <w:color w:val="000000"/>
                <w:lang w:eastAsia="da-DK"/>
              </w:rPr>
              <w:t xml:space="preserve">  factors</w:t>
            </w:r>
            <w:proofErr w:type="gramEnd"/>
            <w:r>
              <w:rPr>
                <w:rFonts w:ascii="Calibri" w:eastAsia="Times New Roman" w:hAnsi="Calibri" w:cs="Calibri"/>
                <w:color w:val="000000"/>
                <w:lang w:eastAsia="da-DK"/>
              </w:rPr>
              <w:t>)</w:t>
            </w:r>
          </w:p>
        </w:tc>
        <w:tc>
          <w:tcPr>
            <w:tcW w:w="688" w:type="dxa"/>
            <w:tcBorders>
              <w:top w:val="nil"/>
              <w:left w:val="nil"/>
              <w:bottom w:val="nil"/>
              <w:right w:val="nil"/>
            </w:tcBorders>
            <w:shd w:val="clear" w:color="auto" w:fill="auto"/>
            <w:noWrap/>
            <w:vAlign w:val="bottom"/>
            <w:hideMark/>
          </w:tcPr>
          <w:p w:rsidR="00BD59A8" w:rsidRPr="00475473" w:rsidRDefault="00BD59A8" w:rsidP="005310DE">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Pr>
                <w:rFonts w:ascii="Calibri" w:eastAsia="Times New Roman" w:hAnsi="Calibri" w:cs="Calibri"/>
                <w:color w:val="000000"/>
                <w:lang w:eastAsia="da-DK"/>
              </w:rPr>
              <w:t>13</w:t>
            </w:r>
          </w:p>
        </w:tc>
        <w:tc>
          <w:tcPr>
            <w:tcW w:w="587"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Pr>
                <w:rFonts w:ascii="Calibri" w:eastAsia="Times New Roman" w:hAnsi="Calibri" w:cs="Calibri"/>
                <w:color w:val="000000"/>
                <w:lang w:eastAsia="da-DK"/>
              </w:rPr>
              <w:t>24</w:t>
            </w:r>
          </w:p>
        </w:tc>
        <w:tc>
          <w:tcPr>
            <w:tcW w:w="956" w:type="dxa"/>
            <w:tcBorders>
              <w:top w:val="nil"/>
              <w:left w:val="nil"/>
              <w:bottom w:val="nil"/>
              <w:right w:val="nil"/>
            </w:tcBorders>
            <w:vAlign w:val="bottom"/>
          </w:tcPr>
          <w:p w:rsidR="00BD59A8" w:rsidRPr="00475473" w:rsidRDefault="00BD59A8" w:rsidP="00D66656">
            <w:pPr>
              <w:spacing w:after="0" w:line="240" w:lineRule="auto"/>
              <w:jc w:val="center"/>
              <w:rPr>
                <w:rFonts w:ascii="Calibri" w:eastAsia="Times New Roman" w:hAnsi="Calibri" w:cs="Calibri"/>
                <w:color w:val="000000"/>
                <w:lang w:eastAsia="da-DK"/>
              </w:rPr>
            </w:pPr>
            <w:r>
              <w:rPr>
                <w:rFonts w:ascii="Calibri" w:eastAsia="Times New Roman" w:hAnsi="Calibri" w:cs="Calibri"/>
                <w:color w:val="000000"/>
                <w:lang w:eastAsia="da-DK"/>
              </w:rPr>
              <w:t>1.8</w:t>
            </w:r>
          </w:p>
        </w:tc>
        <w:tc>
          <w:tcPr>
            <w:tcW w:w="359" w:type="dxa"/>
            <w:tcBorders>
              <w:top w:val="nil"/>
              <w:left w:val="nil"/>
              <w:bottom w:val="nil"/>
              <w:right w:val="nil"/>
            </w:tcBorders>
          </w:tcPr>
          <w:p w:rsidR="00BD59A8" w:rsidRPr="00475473" w:rsidRDefault="00BD59A8" w:rsidP="00D66656">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8</w:t>
            </w: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4</w:t>
            </w:r>
          </w:p>
        </w:tc>
        <w:tc>
          <w:tcPr>
            <w:tcW w:w="426"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0.04</w:t>
            </w:r>
          </w:p>
        </w:tc>
        <w:tc>
          <w:tcPr>
            <w:tcW w:w="85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0.05</w:t>
            </w:r>
          </w:p>
        </w:tc>
        <w:tc>
          <w:tcPr>
            <w:tcW w:w="1054" w:type="dxa"/>
            <w:tcBorders>
              <w:top w:val="nil"/>
              <w:left w:val="nil"/>
              <w:bottom w:val="nil"/>
              <w:right w:val="nil"/>
            </w:tcBorders>
          </w:tcPr>
          <w:p w:rsidR="00BD59A8" w:rsidRDefault="00BD59A8"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1.3</w:t>
            </w: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688" w:type="dxa"/>
            <w:tcBorders>
              <w:top w:val="nil"/>
              <w:left w:val="nil"/>
              <w:bottom w:val="nil"/>
              <w:right w:val="nil"/>
            </w:tcBorders>
            <w:shd w:val="clear" w:color="auto" w:fill="auto"/>
            <w:noWrap/>
            <w:vAlign w:val="bottom"/>
            <w:hideMark/>
          </w:tcPr>
          <w:p w:rsidR="00BD59A8" w:rsidRPr="00475473" w:rsidRDefault="00BD59A8" w:rsidP="005310DE">
            <w:pPr>
              <w:spacing w:after="0" w:line="240" w:lineRule="auto"/>
              <w:jc w:val="right"/>
              <w:rPr>
                <w:rFonts w:ascii="Calibri" w:eastAsia="Times New Roman" w:hAnsi="Calibri" w:cs="Calibri"/>
                <w:color w:val="000000"/>
                <w:lang w:eastAsia="da-DK"/>
              </w:rPr>
            </w:pPr>
          </w:p>
        </w:tc>
        <w:tc>
          <w:tcPr>
            <w:tcW w:w="587"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p>
        </w:tc>
        <w:tc>
          <w:tcPr>
            <w:tcW w:w="956" w:type="dxa"/>
            <w:tcBorders>
              <w:top w:val="nil"/>
              <w:left w:val="nil"/>
              <w:bottom w:val="nil"/>
              <w:right w:val="nil"/>
            </w:tcBorders>
            <w:vAlign w:val="bottom"/>
          </w:tcPr>
          <w:p w:rsidR="00BD59A8" w:rsidRDefault="00BD59A8" w:rsidP="00D66656">
            <w:pPr>
              <w:spacing w:after="0" w:line="240" w:lineRule="auto"/>
              <w:jc w:val="center"/>
              <w:rPr>
                <w:rFonts w:ascii="Calibri" w:eastAsia="Times New Roman" w:hAnsi="Calibri" w:cs="Calibri"/>
                <w:color w:val="000000"/>
                <w:lang w:eastAsia="da-DK"/>
              </w:rPr>
            </w:pPr>
          </w:p>
        </w:tc>
        <w:tc>
          <w:tcPr>
            <w:tcW w:w="359" w:type="dxa"/>
            <w:tcBorders>
              <w:top w:val="nil"/>
              <w:left w:val="nil"/>
              <w:bottom w:val="nil"/>
              <w:right w:val="nil"/>
            </w:tcBorders>
          </w:tcPr>
          <w:p w:rsidR="00BD59A8" w:rsidRPr="00475473" w:rsidRDefault="00BD59A8" w:rsidP="00D66656">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Default="00BD59A8" w:rsidP="00D66656">
            <w:pPr>
              <w:spacing w:after="0" w:line="240" w:lineRule="auto"/>
              <w:jc w:val="right"/>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Default="00BD59A8" w:rsidP="00D66656">
            <w:pPr>
              <w:spacing w:after="0" w:line="240" w:lineRule="auto"/>
              <w:jc w:val="right"/>
              <w:rPr>
                <w:rFonts w:ascii="Calibri" w:eastAsia="Times New Roman" w:hAnsi="Calibri" w:cs="Calibri"/>
                <w:color w:val="000000"/>
                <w:lang w:eastAsia="da-DK"/>
              </w:rPr>
            </w:pPr>
          </w:p>
        </w:tc>
        <w:tc>
          <w:tcPr>
            <w:tcW w:w="426"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F0485" w:rsidRDefault="00BD59A8" w:rsidP="00D66656">
            <w:pPr>
              <w:spacing w:after="0" w:line="240" w:lineRule="auto"/>
              <w:jc w:val="right"/>
              <w:rPr>
                <w:rFonts w:ascii="Calibri" w:eastAsia="Times New Roman" w:hAnsi="Calibri" w:cs="Calibri"/>
                <w:color w:val="000000"/>
                <w:sz w:val="18"/>
                <w:szCs w:val="18"/>
                <w:lang w:eastAsia="da-DK"/>
              </w:rPr>
            </w:pPr>
            <w:r w:rsidRPr="004F0485">
              <w:rPr>
                <w:rFonts w:ascii="Calibri" w:eastAsia="Times New Roman" w:hAnsi="Calibri" w:cs="Calibri"/>
                <w:color w:val="000000"/>
                <w:sz w:val="18"/>
                <w:szCs w:val="18"/>
                <w:lang w:eastAsia="da-DK"/>
              </w:rPr>
              <w:t>(</w:t>
            </w:r>
            <w:proofErr w:type="gramStart"/>
            <w:r w:rsidRPr="004F0485">
              <w:rPr>
                <w:rFonts w:ascii="Calibri" w:eastAsia="Times New Roman" w:hAnsi="Calibri" w:cs="Calibri"/>
                <w:color w:val="000000"/>
                <w:sz w:val="18"/>
                <w:szCs w:val="18"/>
                <w:lang w:eastAsia="da-DK"/>
              </w:rPr>
              <w:t>34000</w:t>
            </w:r>
            <w:proofErr w:type="gramEnd"/>
            <w:r w:rsidRPr="004F0485">
              <w:rPr>
                <w:rFonts w:ascii="Calibri" w:eastAsia="Times New Roman" w:hAnsi="Calibri" w:cs="Calibri"/>
                <w:color w:val="000000"/>
                <w:sz w:val="18"/>
                <w:szCs w:val="18"/>
                <w:lang w:eastAsia="da-DK"/>
              </w:rPr>
              <w:t>)</w:t>
            </w:r>
          </w:p>
        </w:tc>
        <w:tc>
          <w:tcPr>
            <w:tcW w:w="851" w:type="dxa"/>
            <w:tcBorders>
              <w:top w:val="nil"/>
              <w:left w:val="nil"/>
              <w:bottom w:val="nil"/>
              <w:right w:val="nil"/>
            </w:tcBorders>
            <w:shd w:val="clear" w:color="auto" w:fill="auto"/>
            <w:noWrap/>
            <w:vAlign w:val="bottom"/>
            <w:hideMark/>
          </w:tcPr>
          <w:p w:rsidR="00BD59A8" w:rsidRPr="00475473" w:rsidRDefault="00BD59A8" w:rsidP="00D66656">
            <w:pPr>
              <w:spacing w:after="0" w:line="240" w:lineRule="auto"/>
              <w:jc w:val="right"/>
              <w:rPr>
                <w:rFonts w:ascii="Calibri" w:eastAsia="Times New Roman" w:hAnsi="Calibri" w:cs="Calibri"/>
                <w:color w:val="000000"/>
                <w:lang w:eastAsia="da-DK"/>
              </w:rPr>
            </w:pPr>
            <w:r w:rsidRPr="00BD59A8">
              <w:rPr>
                <w:rFonts w:ascii="Calibri" w:eastAsia="Times New Roman" w:hAnsi="Calibri" w:cs="Calibri"/>
                <w:color w:val="000000"/>
                <w:sz w:val="18"/>
                <w:szCs w:val="18"/>
                <w:lang w:eastAsia="da-DK"/>
              </w:rPr>
              <w:t>(</w:t>
            </w:r>
            <w:proofErr w:type="gramStart"/>
            <w:r w:rsidRPr="00BD59A8">
              <w:rPr>
                <w:rFonts w:ascii="Calibri" w:eastAsia="Times New Roman" w:hAnsi="Calibri" w:cs="Calibri"/>
                <w:color w:val="000000"/>
                <w:sz w:val="18"/>
                <w:szCs w:val="18"/>
                <w:lang w:eastAsia="da-DK"/>
              </w:rPr>
              <w:t>48000</w:t>
            </w:r>
            <w:proofErr w:type="gramEnd"/>
            <w:r>
              <w:rPr>
                <w:rFonts w:ascii="Calibri" w:eastAsia="Times New Roman" w:hAnsi="Calibri" w:cs="Calibri"/>
                <w:color w:val="000000"/>
                <w:lang w:eastAsia="da-DK"/>
              </w:rPr>
              <w:t>)</w:t>
            </w:r>
          </w:p>
        </w:tc>
        <w:tc>
          <w:tcPr>
            <w:tcW w:w="1054" w:type="dxa"/>
            <w:tcBorders>
              <w:top w:val="nil"/>
              <w:left w:val="nil"/>
              <w:bottom w:val="nil"/>
              <w:right w:val="nil"/>
            </w:tcBorders>
          </w:tcPr>
          <w:p w:rsidR="00BD59A8" w:rsidRDefault="0014553B" w:rsidP="00D66656">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1.4</w:t>
            </w:r>
          </w:p>
        </w:tc>
      </w:tr>
    </w:tbl>
    <w:p w:rsidR="00087CFF" w:rsidRDefault="00087CFF" w:rsidP="00087CFF">
      <w:pPr>
        <w:rPr>
          <w:lang w:val="en-US"/>
        </w:rPr>
      </w:pPr>
    </w:p>
    <w:p w:rsidR="007472AC" w:rsidRDefault="0014553B">
      <w:pPr>
        <w:rPr>
          <w:lang w:val="en-US"/>
        </w:rPr>
      </w:pPr>
      <w:r>
        <w:rPr>
          <w:lang w:val="en-US"/>
        </w:rPr>
        <w:t xml:space="preserve">It is seen that the absolute number of collisions increases by </w:t>
      </w:r>
      <w:r w:rsidR="00F5452C">
        <w:rPr>
          <w:lang w:val="en-US"/>
        </w:rPr>
        <w:t>80 %. However</w:t>
      </w:r>
      <w:r w:rsidR="0026408A">
        <w:rPr>
          <w:lang w:val="en-US"/>
        </w:rPr>
        <w:t>,</w:t>
      </w:r>
      <w:r w:rsidR="00F5452C">
        <w:rPr>
          <w:lang w:val="en-US"/>
        </w:rPr>
        <w:t xml:space="preserve"> when normalized by the number of ships (last 3 </w:t>
      </w:r>
      <w:r w:rsidR="00E64283">
        <w:rPr>
          <w:lang w:val="en-US"/>
        </w:rPr>
        <w:t>columns</w:t>
      </w:r>
      <w:r w:rsidR="00F5452C">
        <w:rPr>
          <w:lang w:val="en-US"/>
        </w:rPr>
        <w:t xml:space="preserve">) the increase is </w:t>
      </w:r>
      <w:r w:rsidR="0026408A">
        <w:rPr>
          <w:lang w:val="en-US"/>
        </w:rPr>
        <w:t>“</w:t>
      </w:r>
      <w:r w:rsidR="00F5452C">
        <w:rPr>
          <w:lang w:val="en-US"/>
        </w:rPr>
        <w:t>only</w:t>
      </w:r>
      <w:r w:rsidR="0026408A">
        <w:rPr>
          <w:lang w:val="en-US"/>
        </w:rPr>
        <w:t>”</w:t>
      </w:r>
      <w:r w:rsidR="00F5452C">
        <w:rPr>
          <w:lang w:val="en-US"/>
        </w:rPr>
        <w:t xml:space="preserve"> </w:t>
      </w:r>
      <w:r w:rsidR="00F5452C" w:rsidRPr="0026408A">
        <w:rPr>
          <w:u w:val="single"/>
          <w:lang w:val="en-US"/>
        </w:rPr>
        <w:t>30 %</w:t>
      </w:r>
      <w:r w:rsidR="00F5452C">
        <w:rPr>
          <w:lang w:val="en-US"/>
        </w:rPr>
        <w:t>.</w:t>
      </w:r>
    </w:p>
    <w:p w:rsidR="007472AC" w:rsidRDefault="007472AC" w:rsidP="0005306F">
      <w:pPr>
        <w:pStyle w:val="Overskrift1"/>
        <w:rPr>
          <w:lang w:val="en-US"/>
        </w:rPr>
      </w:pPr>
      <w:r w:rsidRPr="00F47A4A">
        <w:rPr>
          <w:lang w:val="en-US"/>
        </w:rPr>
        <w:lastRenderedPageBreak/>
        <w:t>Great Belt</w:t>
      </w:r>
    </w:p>
    <w:tbl>
      <w:tblPr>
        <w:tblStyle w:val="Tabel-Gitter"/>
        <w:tblW w:w="0" w:type="auto"/>
        <w:tblLook w:val="04A0"/>
      </w:tblPr>
      <w:tblGrid>
        <w:gridCol w:w="5272"/>
        <w:gridCol w:w="4582"/>
      </w:tblGrid>
      <w:tr w:rsidR="00371AFB" w:rsidRPr="0026408A" w:rsidTr="00371AFB">
        <w:tc>
          <w:tcPr>
            <w:tcW w:w="5272" w:type="dxa"/>
          </w:tcPr>
          <w:p w:rsidR="00371AFB" w:rsidRDefault="00371AFB" w:rsidP="007472AC">
            <w:pPr>
              <w:rPr>
                <w:lang w:val="en-US"/>
              </w:rPr>
            </w:pPr>
            <w:r w:rsidRPr="00371AFB">
              <w:rPr>
                <w:noProof/>
                <w:lang w:eastAsia="da-DK"/>
              </w:rPr>
              <w:drawing>
                <wp:inline distT="0" distB="0" distL="0" distR="0">
                  <wp:extent cx="3245521" cy="7896225"/>
                  <wp:effectExtent l="19050" t="0" r="0" b="0"/>
                  <wp:docPr id="3"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245521" cy="7896225"/>
                          </a:xfrm>
                          <a:prstGeom prst="rect">
                            <a:avLst/>
                          </a:prstGeom>
                          <a:noFill/>
                          <a:ln w="9525">
                            <a:noFill/>
                            <a:miter lim="800000"/>
                            <a:headEnd/>
                            <a:tailEnd/>
                          </a:ln>
                        </pic:spPr>
                      </pic:pic>
                    </a:graphicData>
                  </a:graphic>
                </wp:inline>
              </w:drawing>
            </w:r>
          </w:p>
        </w:tc>
        <w:tc>
          <w:tcPr>
            <w:tcW w:w="4582" w:type="dxa"/>
          </w:tcPr>
          <w:p w:rsidR="00371AFB" w:rsidRDefault="00371AFB" w:rsidP="007472AC">
            <w:pPr>
              <w:rPr>
                <w:lang w:val="en-US"/>
              </w:rPr>
            </w:pPr>
            <w:r>
              <w:rPr>
                <w:noProof/>
                <w:lang w:eastAsia="da-DK"/>
              </w:rPr>
              <w:drawing>
                <wp:inline distT="0" distB="0" distL="0" distR="0">
                  <wp:extent cx="2800350" cy="3057525"/>
                  <wp:effectExtent l="1905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2800350" cy="3057525"/>
                          </a:xfrm>
                          <a:prstGeom prst="rect">
                            <a:avLst/>
                          </a:prstGeom>
                          <a:noFill/>
                          <a:ln w="9525">
                            <a:noFill/>
                            <a:miter lim="800000"/>
                            <a:headEnd/>
                            <a:tailEnd/>
                          </a:ln>
                        </pic:spPr>
                      </pic:pic>
                    </a:graphicData>
                  </a:graphic>
                </wp:inline>
              </w:drawing>
            </w:r>
          </w:p>
          <w:p w:rsidR="00371AFB" w:rsidRPr="007034F3" w:rsidRDefault="00371AFB" w:rsidP="007472AC">
            <w:pPr>
              <w:rPr>
                <w:i/>
                <w:lang w:val="en-US"/>
              </w:rPr>
            </w:pPr>
            <w:r w:rsidRPr="007034F3">
              <w:rPr>
                <w:i/>
                <w:lang w:val="en-US"/>
              </w:rPr>
              <w:t>2011 values</w:t>
            </w:r>
            <w:r w:rsidR="0095474F">
              <w:rPr>
                <w:i/>
                <w:lang w:val="en-US"/>
              </w:rPr>
              <w:t xml:space="preserve"> </w:t>
            </w:r>
            <w:r w:rsidR="00475473">
              <w:rPr>
                <w:i/>
                <w:lang w:val="en-US"/>
              </w:rPr>
              <w:t>for leg going under the bridge</w:t>
            </w:r>
          </w:p>
        </w:tc>
      </w:tr>
    </w:tbl>
    <w:p w:rsidR="00371AFB" w:rsidRDefault="00371AFB" w:rsidP="007472AC">
      <w:pPr>
        <w:rPr>
          <w:lang w:val="en-US"/>
        </w:rPr>
      </w:pPr>
    </w:p>
    <w:p w:rsidR="00371AFB" w:rsidRDefault="00475473" w:rsidP="003C55D0">
      <w:pPr>
        <w:pStyle w:val="Overskrift2"/>
        <w:rPr>
          <w:lang w:val="en-US"/>
        </w:rPr>
      </w:pPr>
      <w:r>
        <w:rPr>
          <w:lang w:val="en-US"/>
        </w:rPr>
        <w:lastRenderedPageBreak/>
        <w:t>Great Belt results</w:t>
      </w:r>
    </w:p>
    <w:p w:rsidR="00475473" w:rsidRDefault="00475473" w:rsidP="007472AC">
      <w:pPr>
        <w:rPr>
          <w:lang w:val="en-US"/>
        </w:rPr>
      </w:pPr>
      <w:r>
        <w:rPr>
          <w:lang w:val="en-US"/>
        </w:rPr>
        <w:t xml:space="preserve">The calculated number of groundings fits well with the historic values as does the calculated number of collisions. Given the </w:t>
      </w:r>
      <w:r w:rsidR="00C77563">
        <w:rPr>
          <w:lang w:val="en-US"/>
        </w:rPr>
        <w:t>perhaps nai</w:t>
      </w:r>
      <w:r>
        <w:rPr>
          <w:lang w:val="en-US"/>
        </w:rPr>
        <w:t>ve assumption that the ships of 2030 are the same as those of 2011, we will experience a 40% increase in the number of powered groundings and an 80% increase in the number of collisions.</w:t>
      </w:r>
    </w:p>
    <w:tbl>
      <w:tblPr>
        <w:tblW w:w="9723" w:type="dxa"/>
        <w:tblInd w:w="55" w:type="dxa"/>
        <w:tblCellMar>
          <w:left w:w="70" w:type="dxa"/>
          <w:right w:w="70" w:type="dxa"/>
        </w:tblCellMar>
        <w:tblLook w:val="04A0"/>
      </w:tblPr>
      <w:tblGrid>
        <w:gridCol w:w="2021"/>
        <w:gridCol w:w="688"/>
        <w:gridCol w:w="587"/>
        <w:gridCol w:w="956"/>
        <w:gridCol w:w="359"/>
        <w:gridCol w:w="729"/>
        <w:gridCol w:w="850"/>
        <w:gridCol w:w="426"/>
        <w:gridCol w:w="850"/>
        <w:gridCol w:w="851"/>
        <w:gridCol w:w="1406"/>
      </w:tblGrid>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val="en-US" w:eastAsia="da-DK"/>
              </w:rPr>
            </w:pPr>
          </w:p>
        </w:tc>
        <w:tc>
          <w:tcPr>
            <w:tcW w:w="1275" w:type="dxa"/>
            <w:gridSpan w:val="2"/>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 xml:space="preserve">Per </w:t>
            </w:r>
            <w:proofErr w:type="spellStart"/>
            <w:r w:rsidRPr="00475473">
              <w:rPr>
                <w:rFonts w:ascii="Calibri" w:eastAsia="Times New Roman" w:hAnsi="Calibri" w:cs="Calibri"/>
                <w:b/>
                <w:bCs/>
                <w:color w:val="000000"/>
                <w:lang w:eastAsia="da-DK"/>
              </w:rPr>
              <w:t>year</w:t>
            </w:r>
            <w:proofErr w:type="spellEnd"/>
          </w:p>
        </w:tc>
        <w:tc>
          <w:tcPr>
            <w:tcW w:w="956"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roofErr w:type="spellStart"/>
            <w:r>
              <w:rPr>
                <w:rFonts w:ascii="Calibri" w:eastAsia="Times New Roman" w:hAnsi="Calibri" w:cs="Calibri"/>
                <w:b/>
                <w:bCs/>
                <w:color w:val="000000"/>
                <w:lang w:eastAsia="da-DK"/>
              </w:rPr>
              <w:t>Increase</w:t>
            </w:r>
            <w:proofErr w:type="spellEnd"/>
          </w:p>
        </w:tc>
        <w:tc>
          <w:tcPr>
            <w:tcW w:w="359"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
        </w:tc>
        <w:tc>
          <w:tcPr>
            <w:tcW w:w="1579" w:type="dxa"/>
            <w:gridSpan w:val="2"/>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proofErr w:type="spellStart"/>
            <w:r w:rsidRPr="00475473">
              <w:rPr>
                <w:rFonts w:ascii="Calibri" w:eastAsia="Times New Roman" w:hAnsi="Calibri" w:cs="Calibri"/>
                <w:b/>
                <w:bCs/>
                <w:color w:val="000000"/>
                <w:lang w:eastAsia="da-DK"/>
              </w:rPr>
              <w:t>Return</w:t>
            </w:r>
            <w:proofErr w:type="spellEnd"/>
            <w:r w:rsidRPr="00475473">
              <w:rPr>
                <w:rFonts w:ascii="Calibri" w:eastAsia="Times New Roman" w:hAnsi="Calibri" w:cs="Calibri"/>
                <w:b/>
                <w:bCs/>
                <w:color w:val="000000"/>
                <w:lang w:eastAsia="da-DK"/>
              </w:rPr>
              <w:t xml:space="preserve"> </w:t>
            </w:r>
            <w:proofErr w:type="spellStart"/>
            <w:r w:rsidRPr="00475473">
              <w:rPr>
                <w:rFonts w:ascii="Calibri" w:eastAsia="Times New Roman" w:hAnsi="Calibri" w:cs="Calibri"/>
                <w:b/>
                <w:bCs/>
                <w:color w:val="000000"/>
                <w:lang w:eastAsia="da-DK"/>
              </w:rPr>
              <w:t>period</w:t>
            </w:r>
            <w:proofErr w:type="spellEnd"/>
          </w:p>
        </w:tc>
        <w:tc>
          <w:tcPr>
            <w:tcW w:w="426"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1701" w:type="dxa"/>
            <w:gridSpan w:val="2"/>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Per 10</w:t>
            </w:r>
            <w:r w:rsidR="00BA4964">
              <w:rPr>
                <w:rFonts w:ascii="Calibri" w:eastAsia="Times New Roman" w:hAnsi="Calibri" w:cs="Calibri"/>
                <w:b/>
                <w:bCs/>
                <w:color w:val="000000"/>
                <w:lang w:eastAsia="da-DK"/>
              </w:rPr>
              <w:t>,</w:t>
            </w:r>
            <w:r w:rsidRPr="00475473">
              <w:rPr>
                <w:rFonts w:ascii="Calibri" w:eastAsia="Times New Roman" w:hAnsi="Calibri" w:cs="Calibri"/>
                <w:b/>
                <w:bCs/>
                <w:color w:val="000000"/>
                <w:lang w:eastAsia="da-DK"/>
              </w:rPr>
              <w:t xml:space="preserve">000 </w:t>
            </w:r>
            <w:proofErr w:type="spellStart"/>
            <w:r w:rsidRPr="00475473">
              <w:rPr>
                <w:rFonts w:ascii="Calibri" w:eastAsia="Times New Roman" w:hAnsi="Calibri" w:cs="Calibri"/>
                <w:b/>
                <w:bCs/>
                <w:color w:val="000000"/>
                <w:lang w:eastAsia="da-DK"/>
              </w:rPr>
              <w:t>ships</w:t>
            </w:r>
            <w:proofErr w:type="spellEnd"/>
          </w:p>
        </w:tc>
        <w:tc>
          <w:tcPr>
            <w:tcW w:w="1406"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roofErr w:type="spellStart"/>
            <w:r>
              <w:rPr>
                <w:rFonts w:ascii="Calibri" w:eastAsia="Times New Roman" w:hAnsi="Calibri" w:cs="Calibri"/>
                <w:b/>
                <w:bCs/>
                <w:color w:val="000000"/>
                <w:lang w:eastAsia="da-DK"/>
              </w:rPr>
              <w:t>Increase</w:t>
            </w:r>
            <w:proofErr w:type="spellEnd"/>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688"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587"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956"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
        </w:tc>
        <w:tc>
          <w:tcPr>
            <w:tcW w:w="359"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426"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2011</w:t>
            </w:r>
          </w:p>
        </w:tc>
        <w:tc>
          <w:tcPr>
            <w:tcW w:w="85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center"/>
              <w:rPr>
                <w:rFonts w:ascii="Calibri" w:eastAsia="Times New Roman" w:hAnsi="Calibri" w:cs="Calibri"/>
                <w:b/>
                <w:bCs/>
                <w:color w:val="000000"/>
                <w:lang w:eastAsia="da-DK"/>
              </w:rPr>
            </w:pPr>
            <w:r w:rsidRPr="00475473">
              <w:rPr>
                <w:rFonts w:ascii="Calibri" w:eastAsia="Times New Roman" w:hAnsi="Calibri" w:cs="Calibri"/>
                <w:b/>
                <w:bCs/>
                <w:color w:val="000000"/>
                <w:lang w:eastAsia="da-DK"/>
              </w:rPr>
              <w:t>2030</w:t>
            </w:r>
          </w:p>
        </w:tc>
        <w:tc>
          <w:tcPr>
            <w:tcW w:w="1406" w:type="dxa"/>
            <w:tcBorders>
              <w:top w:val="nil"/>
              <w:left w:val="nil"/>
              <w:bottom w:val="nil"/>
              <w:right w:val="nil"/>
            </w:tcBorders>
          </w:tcPr>
          <w:p w:rsidR="00BD59A8" w:rsidRPr="00475473" w:rsidRDefault="00BD59A8" w:rsidP="00475473">
            <w:pPr>
              <w:spacing w:after="0" w:line="240" w:lineRule="auto"/>
              <w:jc w:val="center"/>
              <w:rPr>
                <w:rFonts w:ascii="Calibri" w:eastAsia="Times New Roman" w:hAnsi="Calibri" w:cs="Calibri"/>
                <w:b/>
                <w:bCs/>
                <w:color w:val="000000"/>
                <w:lang w:eastAsia="da-DK"/>
              </w:rPr>
            </w:pP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roofErr w:type="spellStart"/>
            <w:r w:rsidRPr="00475473">
              <w:rPr>
                <w:rFonts w:ascii="Calibri" w:eastAsia="Times New Roman" w:hAnsi="Calibri" w:cs="Calibri"/>
                <w:color w:val="000000"/>
                <w:lang w:eastAsia="da-DK"/>
              </w:rPr>
              <w:t>Powered</w:t>
            </w:r>
            <w:proofErr w:type="spellEnd"/>
            <w:r w:rsidRPr="00475473">
              <w:rPr>
                <w:rFonts w:ascii="Calibri" w:eastAsia="Times New Roman" w:hAnsi="Calibri" w:cs="Calibri"/>
                <w:color w:val="000000"/>
                <w:lang w:eastAsia="da-DK"/>
              </w:rPr>
              <w:t xml:space="preserve"> </w:t>
            </w:r>
            <w:proofErr w:type="spellStart"/>
            <w:r w:rsidRPr="00475473">
              <w:rPr>
                <w:rFonts w:ascii="Calibri" w:eastAsia="Times New Roman" w:hAnsi="Calibri" w:cs="Calibri"/>
                <w:color w:val="000000"/>
                <w:lang w:eastAsia="da-DK"/>
              </w:rPr>
              <w:t>groundings</w:t>
            </w:r>
            <w:proofErr w:type="spellEnd"/>
          </w:p>
        </w:tc>
        <w:tc>
          <w:tcPr>
            <w:tcW w:w="688"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1.14</w:t>
            </w:r>
          </w:p>
        </w:tc>
        <w:tc>
          <w:tcPr>
            <w:tcW w:w="587"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1.54</w:t>
            </w:r>
          </w:p>
        </w:tc>
        <w:tc>
          <w:tcPr>
            <w:tcW w:w="956" w:type="dxa"/>
            <w:tcBorders>
              <w:top w:val="nil"/>
              <w:left w:val="nil"/>
              <w:bottom w:val="nil"/>
              <w:right w:val="nil"/>
            </w:tcBorders>
            <w:vAlign w:val="bottom"/>
          </w:tcPr>
          <w:p w:rsidR="00BD59A8" w:rsidRPr="00475473" w:rsidRDefault="00BD59A8" w:rsidP="00475473">
            <w:pPr>
              <w:spacing w:after="0" w:line="240" w:lineRule="auto"/>
              <w:jc w:val="center"/>
              <w:rPr>
                <w:rFonts w:ascii="Calibri" w:eastAsia="Times New Roman" w:hAnsi="Calibri" w:cs="Calibri"/>
                <w:color w:val="000000"/>
                <w:lang w:eastAsia="da-DK"/>
              </w:rPr>
            </w:pPr>
            <w:r>
              <w:rPr>
                <w:rFonts w:ascii="Calibri" w:eastAsia="Times New Roman" w:hAnsi="Calibri" w:cs="Calibri"/>
                <w:color w:val="000000"/>
                <w:lang w:eastAsia="da-DK"/>
              </w:rPr>
              <w:t>1.4</w:t>
            </w:r>
          </w:p>
        </w:tc>
        <w:tc>
          <w:tcPr>
            <w:tcW w:w="359" w:type="dxa"/>
            <w:tcBorders>
              <w:top w:val="nil"/>
              <w:left w:val="nil"/>
              <w:bottom w:val="nil"/>
              <w:right w:val="nil"/>
            </w:tcBorders>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roofErr w:type="gramStart"/>
            <w:r w:rsidRPr="00475473">
              <w:rPr>
                <w:rFonts w:ascii="Calibri" w:eastAsia="Times New Roman" w:hAnsi="Calibri" w:cs="Calibri"/>
                <w:color w:val="000000"/>
                <w:lang w:eastAsia="da-DK"/>
              </w:rPr>
              <w:t>0.88</w:t>
            </w:r>
            <w:proofErr w:type="gramEnd"/>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roofErr w:type="gramStart"/>
            <w:r w:rsidRPr="00475473">
              <w:rPr>
                <w:rFonts w:ascii="Calibri" w:eastAsia="Times New Roman" w:hAnsi="Calibri" w:cs="Calibri"/>
                <w:color w:val="000000"/>
                <w:lang w:eastAsia="da-DK"/>
              </w:rPr>
              <w:t>0.65</w:t>
            </w:r>
            <w:proofErr w:type="gramEnd"/>
          </w:p>
        </w:tc>
        <w:tc>
          <w:tcPr>
            <w:tcW w:w="426"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Pr>
                <w:rFonts w:ascii="Calibri" w:eastAsia="Times New Roman" w:hAnsi="Calibri" w:cs="Calibri"/>
                <w:color w:val="000000"/>
                <w:lang w:eastAsia="da-DK"/>
              </w:rPr>
              <w:t>38</w:t>
            </w:r>
          </w:p>
        </w:tc>
        <w:tc>
          <w:tcPr>
            <w:tcW w:w="85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sidR="0014553B">
              <w:rPr>
                <w:rFonts w:ascii="Calibri" w:eastAsia="Times New Roman" w:hAnsi="Calibri" w:cs="Calibri"/>
                <w:color w:val="000000"/>
                <w:lang w:eastAsia="da-DK"/>
              </w:rPr>
              <w:t>41</w:t>
            </w:r>
          </w:p>
        </w:tc>
        <w:tc>
          <w:tcPr>
            <w:tcW w:w="1406" w:type="dxa"/>
            <w:tcBorders>
              <w:top w:val="nil"/>
              <w:left w:val="nil"/>
              <w:bottom w:val="nil"/>
              <w:right w:val="nil"/>
            </w:tcBorders>
          </w:tcPr>
          <w:p w:rsidR="00BD59A8" w:rsidRPr="00475473" w:rsidRDefault="00BD59A8" w:rsidP="00475473">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w:t>
            </w:r>
            <w:r w:rsidR="0014553B">
              <w:rPr>
                <w:rFonts w:ascii="Calibri" w:eastAsia="Times New Roman" w:hAnsi="Calibri" w:cs="Calibri"/>
                <w:color w:val="000000"/>
                <w:lang w:eastAsia="da-DK"/>
              </w:rPr>
              <w:t>1</w:t>
            </w: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roofErr w:type="spellStart"/>
            <w:r w:rsidRPr="00475473">
              <w:rPr>
                <w:rFonts w:ascii="Calibri" w:eastAsia="Times New Roman" w:hAnsi="Calibri" w:cs="Calibri"/>
                <w:color w:val="000000"/>
                <w:lang w:eastAsia="da-DK"/>
              </w:rPr>
              <w:t>Collisions</w:t>
            </w:r>
            <w:proofErr w:type="spellEnd"/>
          </w:p>
        </w:tc>
        <w:tc>
          <w:tcPr>
            <w:tcW w:w="688"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0.26</w:t>
            </w:r>
          </w:p>
        </w:tc>
        <w:tc>
          <w:tcPr>
            <w:tcW w:w="587"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0.48</w:t>
            </w:r>
          </w:p>
        </w:tc>
        <w:tc>
          <w:tcPr>
            <w:tcW w:w="956" w:type="dxa"/>
            <w:tcBorders>
              <w:top w:val="nil"/>
              <w:left w:val="nil"/>
              <w:bottom w:val="nil"/>
              <w:right w:val="nil"/>
            </w:tcBorders>
            <w:vAlign w:val="bottom"/>
          </w:tcPr>
          <w:p w:rsidR="00BD59A8" w:rsidRPr="00475473" w:rsidRDefault="00BD59A8" w:rsidP="00475473">
            <w:pPr>
              <w:spacing w:after="0" w:line="240" w:lineRule="auto"/>
              <w:jc w:val="center"/>
              <w:rPr>
                <w:rFonts w:ascii="Calibri" w:eastAsia="Times New Roman" w:hAnsi="Calibri" w:cs="Calibri"/>
                <w:color w:val="000000"/>
                <w:lang w:eastAsia="da-DK"/>
              </w:rPr>
            </w:pPr>
            <w:r>
              <w:rPr>
                <w:rFonts w:ascii="Calibri" w:eastAsia="Times New Roman" w:hAnsi="Calibri" w:cs="Calibri"/>
                <w:color w:val="000000"/>
                <w:lang w:eastAsia="da-DK"/>
              </w:rPr>
              <w:t>1.8</w:t>
            </w:r>
          </w:p>
        </w:tc>
        <w:tc>
          <w:tcPr>
            <w:tcW w:w="359" w:type="dxa"/>
            <w:tcBorders>
              <w:top w:val="nil"/>
              <w:left w:val="nil"/>
              <w:bottom w:val="nil"/>
              <w:right w:val="nil"/>
            </w:tcBorders>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3.8</w:t>
            </w: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2.1</w:t>
            </w:r>
          </w:p>
        </w:tc>
        <w:tc>
          <w:tcPr>
            <w:tcW w:w="426"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Pr>
                <w:rFonts w:ascii="Calibri" w:eastAsia="Times New Roman" w:hAnsi="Calibri" w:cs="Calibri"/>
                <w:color w:val="000000"/>
                <w:lang w:eastAsia="da-DK"/>
              </w:rPr>
              <w:t>09</w:t>
            </w:r>
          </w:p>
        </w:tc>
        <w:tc>
          <w:tcPr>
            <w:tcW w:w="85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r w:rsidRPr="00475473">
              <w:rPr>
                <w:rFonts w:ascii="Calibri" w:eastAsia="Times New Roman" w:hAnsi="Calibri" w:cs="Calibri"/>
                <w:color w:val="000000"/>
                <w:lang w:eastAsia="da-DK"/>
              </w:rPr>
              <w:t>0.</w:t>
            </w:r>
            <w:r w:rsidR="0014553B">
              <w:rPr>
                <w:rFonts w:ascii="Calibri" w:eastAsia="Times New Roman" w:hAnsi="Calibri" w:cs="Calibri"/>
                <w:color w:val="000000"/>
                <w:lang w:eastAsia="da-DK"/>
              </w:rPr>
              <w:t>13</w:t>
            </w:r>
          </w:p>
        </w:tc>
        <w:tc>
          <w:tcPr>
            <w:tcW w:w="1406" w:type="dxa"/>
            <w:tcBorders>
              <w:top w:val="nil"/>
              <w:left w:val="nil"/>
              <w:bottom w:val="nil"/>
              <w:right w:val="nil"/>
            </w:tcBorders>
          </w:tcPr>
          <w:p w:rsidR="00BD59A8" w:rsidRPr="00475473" w:rsidRDefault="0014553B" w:rsidP="00475473">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1.4</w:t>
            </w:r>
          </w:p>
        </w:tc>
      </w:tr>
      <w:tr w:rsidR="00BD59A8" w:rsidRPr="00475473" w:rsidTr="00BD59A8">
        <w:trPr>
          <w:trHeight w:val="300"/>
        </w:trPr>
        <w:tc>
          <w:tcPr>
            <w:tcW w:w="2021"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688"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587"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956" w:type="dxa"/>
            <w:tcBorders>
              <w:top w:val="nil"/>
              <w:left w:val="nil"/>
              <w:bottom w:val="nil"/>
              <w:right w:val="nil"/>
            </w:tcBorders>
            <w:vAlign w:val="bottom"/>
          </w:tcPr>
          <w:p w:rsidR="00BD59A8" w:rsidRDefault="00BD59A8" w:rsidP="00475473">
            <w:pPr>
              <w:spacing w:after="0" w:line="240" w:lineRule="auto"/>
              <w:jc w:val="center"/>
              <w:rPr>
                <w:rFonts w:ascii="Calibri" w:eastAsia="Times New Roman" w:hAnsi="Calibri" w:cs="Calibri"/>
                <w:color w:val="000000"/>
                <w:lang w:eastAsia="da-DK"/>
              </w:rPr>
            </w:pPr>
          </w:p>
        </w:tc>
        <w:tc>
          <w:tcPr>
            <w:tcW w:w="359" w:type="dxa"/>
            <w:tcBorders>
              <w:top w:val="nil"/>
              <w:left w:val="nil"/>
              <w:bottom w:val="nil"/>
              <w:right w:val="nil"/>
            </w:tcBorders>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729"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jc w:val="right"/>
              <w:rPr>
                <w:rFonts w:ascii="Calibri" w:eastAsia="Times New Roman" w:hAnsi="Calibri" w:cs="Calibri"/>
                <w:color w:val="000000"/>
                <w:lang w:eastAsia="da-DK"/>
              </w:rPr>
            </w:pPr>
          </w:p>
        </w:tc>
        <w:tc>
          <w:tcPr>
            <w:tcW w:w="426" w:type="dxa"/>
            <w:tcBorders>
              <w:top w:val="nil"/>
              <w:left w:val="nil"/>
              <w:bottom w:val="nil"/>
              <w:right w:val="nil"/>
            </w:tcBorders>
            <w:shd w:val="clear" w:color="auto" w:fill="auto"/>
            <w:noWrap/>
            <w:vAlign w:val="bottom"/>
            <w:hideMark/>
          </w:tcPr>
          <w:p w:rsidR="00BD59A8" w:rsidRPr="00475473" w:rsidRDefault="00BD59A8" w:rsidP="00475473">
            <w:pPr>
              <w:spacing w:after="0" w:line="240" w:lineRule="auto"/>
              <w:rPr>
                <w:rFonts w:ascii="Calibri" w:eastAsia="Times New Roman" w:hAnsi="Calibri" w:cs="Calibri"/>
                <w:color w:val="000000"/>
                <w:lang w:eastAsia="da-DK"/>
              </w:rPr>
            </w:pPr>
          </w:p>
        </w:tc>
        <w:tc>
          <w:tcPr>
            <w:tcW w:w="850" w:type="dxa"/>
            <w:tcBorders>
              <w:top w:val="nil"/>
              <w:left w:val="nil"/>
              <w:bottom w:val="nil"/>
              <w:right w:val="nil"/>
            </w:tcBorders>
            <w:shd w:val="clear" w:color="auto" w:fill="auto"/>
            <w:noWrap/>
            <w:vAlign w:val="bottom"/>
            <w:hideMark/>
          </w:tcPr>
          <w:p w:rsidR="00BD59A8" w:rsidRPr="0014553B" w:rsidRDefault="00BD59A8" w:rsidP="00475473">
            <w:pPr>
              <w:spacing w:after="0" w:line="240" w:lineRule="auto"/>
              <w:jc w:val="right"/>
              <w:rPr>
                <w:rFonts w:ascii="Calibri" w:eastAsia="Times New Roman" w:hAnsi="Calibri" w:cs="Calibri"/>
                <w:color w:val="000000"/>
                <w:sz w:val="20"/>
                <w:szCs w:val="20"/>
                <w:lang w:eastAsia="da-DK"/>
              </w:rPr>
            </w:pPr>
            <w:r w:rsidRPr="0014553B">
              <w:rPr>
                <w:rFonts w:ascii="Calibri" w:eastAsia="Times New Roman" w:hAnsi="Calibri" w:cs="Calibri"/>
                <w:color w:val="000000"/>
                <w:sz w:val="20"/>
                <w:szCs w:val="20"/>
                <w:lang w:eastAsia="da-DK"/>
              </w:rPr>
              <w:t>(30</w:t>
            </w:r>
            <w:r w:rsidR="0014553B">
              <w:rPr>
                <w:rFonts w:ascii="Calibri" w:eastAsia="Times New Roman" w:hAnsi="Calibri" w:cs="Calibri"/>
                <w:color w:val="000000"/>
                <w:sz w:val="20"/>
                <w:szCs w:val="20"/>
                <w:lang w:eastAsia="da-DK"/>
              </w:rPr>
              <w:t>,</w:t>
            </w:r>
            <w:r w:rsidRPr="0014553B">
              <w:rPr>
                <w:rFonts w:ascii="Calibri" w:eastAsia="Times New Roman" w:hAnsi="Calibri" w:cs="Calibri"/>
                <w:color w:val="000000"/>
                <w:sz w:val="20"/>
                <w:szCs w:val="20"/>
                <w:lang w:eastAsia="da-DK"/>
              </w:rPr>
              <w:t>000)</w:t>
            </w:r>
          </w:p>
        </w:tc>
        <w:tc>
          <w:tcPr>
            <w:tcW w:w="851" w:type="dxa"/>
            <w:tcBorders>
              <w:top w:val="nil"/>
              <w:left w:val="nil"/>
              <w:bottom w:val="nil"/>
              <w:right w:val="nil"/>
            </w:tcBorders>
            <w:shd w:val="clear" w:color="auto" w:fill="auto"/>
            <w:noWrap/>
            <w:vAlign w:val="bottom"/>
            <w:hideMark/>
          </w:tcPr>
          <w:p w:rsidR="00BD59A8" w:rsidRPr="0014553B" w:rsidRDefault="0014553B" w:rsidP="00475473">
            <w:pPr>
              <w:spacing w:after="0" w:line="240" w:lineRule="auto"/>
              <w:jc w:val="right"/>
              <w:rPr>
                <w:rFonts w:ascii="Calibri" w:eastAsia="Times New Roman" w:hAnsi="Calibri" w:cs="Calibri"/>
                <w:color w:val="000000"/>
                <w:sz w:val="20"/>
                <w:szCs w:val="20"/>
                <w:lang w:eastAsia="da-DK"/>
              </w:rPr>
            </w:pPr>
            <w:r w:rsidRPr="0014553B">
              <w:rPr>
                <w:rFonts w:ascii="Calibri" w:eastAsia="Times New Roman" w:hAnsi="Calibri" w:cs="Calibri"/>
                <w:color w:val="000000"/>
                <w:sz w:val="20"/>
                <w:szCs w:val="20"/>
                <w:lang w:eastAsia="da-DK"/>
              </w:rPr>
              <w:t>(38</w:t>
            </w:r>
            <w:r>
              <w:rPr>
                <w:rFonts w:ascii="Calibri" w:eastAsia="Times New Roman" w:hAnsi="Calibri" w:cs="Calibri"/>
                <w:color w:val="000000"/>
                <w:sz w:val="20"/>
                <w:szCs w:val="20"/>
                <w:lang w:eastAsia="da-DK"/>
              </w:rPr>
              <w:t>,</w:t>
            </w:r>
            <w:r w:rsidRPr="0014553B">
              <w:rPr>
                <w:rFonts w:ascii="Calibri" w:eastAsia="Times New Roman" w:hAnsi="Calibri" w:cs="Calibri"/>
                <w:color w:val="000000"/>
                <w:sz w:val="20"/>
                <w:szCs w:val="20"/>
                <w:lang w:eastAsia="da-DK"/>
              </w:rPr>
              <w:t>000)</w:t>
            </w:r>
          </w:p>
        </w:tc>
        <w:tc>
          <w:tcPr>
            <w:tcW w:w="1406" w:type="dxa"/>
            <w:tcBorders>
              <w:top w:val="nil"/>
              <w:left w:val="nil"/>
              <w:bottom w:val="nil"/>
              <w:right w:val="nil"/>
            </w:tcBorders>
          </w:tcPr>
          <w:p w:rsidR="00BD59A8" w:rsidRPr="00475473" w:rsidRDefault="0014553B" w:rsidP="00475473">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1.3</w:t>
            </w:r>
          </w:p>
        </w:tc>
      </w:tr>
    </w:tbl>
    <w:p w:rsidR="00475473" w:rsidRDefault="00475473" w:rsidP="007472AC">
      <w:pPr>
        <w:rPr>
          <w:lang w:val="en-US"/>
        </w:rPr>
      </w:pPr>
    </w:p>
    <w:p w:rsidR="00C77563" w:rsidRDefault="00F5452C" w:rsidP="007472AC">
      <w:pPr>
        <w:rPr>
          <w:lang w:val="en-US"/>
        </w:rPr>
      </w:pPr>
      <w:r>
        <w:rPr>
          <w:lang w:val="en-US"/>
        </w:rPr>
        <w:t xml:space="preserve">As for the Gulf of Finland the number of collisions </w:t>
      </w:r>
      <w:r w:rsidR="00C77563">
        <w:rPr>
          <w:lang w:val="en-US"/>
        </w:rPr>
        <w:t xml:space="preserve">in the Great Belt </w:t>
      </w:r>
      <w:r>
        <w:rPr>
          <w:lang w:val="en-US"/>
        </w:rPr>
        <w:t>increases by 80 %</w:t>
      </w:r>
      <w:r w:rsidR="0026408A">
        <w:rPr>
          <w:lang w:val="en-US"/>
        </w:rPr>
        <w:t xml:space="preserve"> by year 2030</w:t>
      </w:r>
      <w:r>
        <w:rPr>
          <w:lang w:val="en-US"/>
        </w:rPr>
        <w:t xml:space="preserve">. But when normalized by the number of ships the increase is </w:t>
      </w:r>
      <w:r w:rsidR="0026408A">
        <w:rPr>
          <w:lang w:val="en-US"/>
        </w:rPr>
        <w:t>“</w:t>
      </w:r>
      <w:r>
        <w:rPr>
          <w:lang w:val="en-US"/>
        </w:rPr>
        <w:t>only</w:t>
      </w:r>
      <w:r w:rsidR="0026408A">
        <w:rPr>
          <w:lang w:val="en-US"/>
        </w:rPr>
        <w:t>”</w:t>
      </w:r>
      <w:r>
        <w:rPr>
          <w:lang w:val="en-US"/>
        </w:rPr>
        <w:t xml:space="preserve"> </w:t>
      </w:r>
      <w:r w:rsidRPr="0026408A">
        <w:rPr>
          <w:u w:val="single"/>
          <w:lang w:val="en-US"/>
        </w:rPr>
        <w:t>40 %</w:t>
      </w:r>
      <w:r>
        <w:rPr>
          <w:lang w:val="en-US"/>
        </w:rPr>
        <w:t xml:space="preserve">. </w:t>
      </w:r>
      <w:r w:rsidR="0026408A">
        <w:rPr>
          <w:lang w:val="en-US"/>
        </w:rPr>
        <w:br/>
      </w:r>
      <w:r>
        <w:rPr>
          <w:lang w:val="en-US"/>
        </w:rPr>
        <w:t xml:space="preserve">The number of groundings increases by 40 %, but when normalized by the number of ships </w:t>
      </w:r>
      <w:r w:rsidR="0026408A">
        <w:rPr>
          <w:lang w:val="en-US"/>
        </w:rPr>
        <w:t>“</w:t>
      </w:r>
      <w:r>
        <w:rPr>
          <w:lang w:val="en-US"/>
        </w:rPr>
        <w:t>only</w:t>
      </w:r>
      <w:r w:rsidR="0026408A">
        <w:rPr>
          <w:lang w:val="en-US"/>
        </w:rPr>
        <w:t>”</w:t>
      </w:r>
      <w:r>
        <w:rPr>
          <w:lang w:val="en-US"/>
        </w:rPr>
        <w:t xml:space="preserve"> by </w:t>
      </w:r>
      <w:r w:rsidRPr="0026408A">
        <w:rPr>
          <w:u w:val="single"/>
          <w:lang w:val="en-US"/>
        </w:rPr>
        <w:t>10 %</w:t>
      </w:r>
      <w:r>
        <w:rPr>
          <w:lang w:val="en-US"/>
        </w:rPr>
        <w:t>.</w:t>
      </w:r>
    </w:p>
    <w:p w:rsidR="00C77563" w:rsidRDefault="00C77563" w:rsidP="007472AC">
      <w:pPr>
        <w:rPr>
          <w:lang w:val="en-US"/>
        </w:rPr>
      </w:pPr>
    </w:p>
    <w:sectPr w:rsidR="00C77563" w:rsidSect="00856BFA">
      <w:headerReference w:type="default" r:id="rId13"/>
      <w:footerReference w:type="default" r:id="rId14"/>
      <w:pgSz w:w="11906" w:h="16838"/>
      <w:pgMar w:top="1701"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C20" w:rsidRDefault="00466C20" w:rsidP="00F47A4A">
      <w:pPr>
        <w:spacing w:after="0" w:line="240" w:lineRule="auto"/>
      </w:pPr>
      <w:r>
        <w:separator/>
      </w:r>
    </w:p>
  </w:endnote>
  <w:endnote w:type="continuationSeparator" w:id="0">
    <w:p w:rsidR="00466C20" w:rsidRDefault="00466C20" w:rsidP="00F47A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11467"/>
      <w:docPartObj>
        <w:docPartGallery w:val="Page Numbers (Bottom of Page)"/>
        <w:docPartUnique/>
      </w:docPartObj>
    </w:sdtPr>
    <w:sdtContent>
      <w:p w:rsidR="00E64283" w:rsidRDefault="00163E19">
        <w:pPr>
          <w:pStyle w:val="Sidefod"/>
          <w:jc w:val="right"/>
        </w:pPr>
        <w:fldSimple w:instr=" PAGE   \* MERGEFORMAT ">
          <w:r w:rsidR="00C45DFB">
            <w:rPr>
              <w:noProof/>
            </w:rPr>
            <w:t>1</w:t>
          </w:r>
        </w:fldSimple>
      </w:p>
    </w:sdtContent>
  </w:sdt>
  <w:p w:rsidR="00E64283" w:rsidRDefault="00E64283">
    <w:pPr>
      <w:pStyle w:val="Sidefo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C20" w:rsidRDefault="00466C20" w:rsidP="00F47A4A">
      <w:pPr>
        <w:spacing w:after="0" w:line="240" w:lineRule="auto"/>
      </w:pPr>
      <w:r>
        <w:separator/>
      </w:r>
    </w:p>
  </w:footnote>
  <w:footnote w:type="continuationSeparator" w:id="0">
    <w:p w:rsidR="00466C20" w:rsidRDefault="00466C20" w:rsidP="00F47A4A">
      <w:pPr>
        <w:spacing w:after="0" w:line="240" w:lineRule="auto"/>
      </w:pPr>
      <w:r>
        <w:continuationSeparator/>
      </w:r>
    </w:p>
  </w:footnote>
  <w:footnote w:id="1">
    <w:p w:rsidR="00EC22B2" w:rsidRPr="00EC22B2" w:rsidRDefault="00EC22B2">
      <w:pPr>
        <w:pStyle w:val="Fodnotetekst"/>
        <w:rPr>
          <w:lang w:val="en-US"/>
        </w:rPr>
      </w:pPr>
      <w:r>
        <w:rPr>
          <w:rStyle w:val="Fodnotehenvisning"/>
        </w:rPr>
        <w:footnoteRef/>
      </w:r>
      <w:r w:rsidRPr="00EC22B2">
        <w:rPr>
          <w:lang w:val="en-US"/>
        </w:rPr>
        <w:t xml:space="preserve"> http://www.baltictransportoutlook.eu/</w:t>
      </w:r>
    </w:p>
  </w:footnote>
  <w:footnote w:id="2">
    <w:p w:rsidR="00F47A4A" w:rsidRPr="00D76532" w:rsidRDefault="00F47A4A" w:rsidP="00F47A4A">
      <w:pPr>
        <w:pStyle w:val="Fodnotetekst"/>
        <w:rPr>
          <w:lang w:val="en-US"/>
        </w:rPr>
      </w:pPr>
      <w:r>
        <w:rPr>
          <w:rStyle w:val="Fodnotehenvisning"/>
        </w:rPr>
        <w:footnoteRef/>
      </w:r>
      <w:r w:rsidRPr="00D76532">
        <w:rPr>
          <w:lang w:val="en-US"/>
        </w:rPr>
        <w:t xml:space="preserve"> </w:t>
      </w:r>
      <w:hyperlink r:id="rId1" w:history="1">
        <w:r w:rsidRPr="00D76532">
          <w:rPr>
            <w:rStyle w:val="Hyperlink"/>
            <w:lang w:val="en-US"/>
          </w:rPr>
          <w:t>http://www.ialathree.org/iwrap</w:t>
        </w:r>
      </w:hyperlink>
      <w:r w:rsidRPr="00D76532">
        <w:rPr>
          <w:lang w:val="en-US"/>
        </w:rPr>
        <w:t xml:space="preserve"> Here a detailed description on the method can be found.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2B2" w:rsidRPr="00EC22B2" w:rsidRDefault="00EC22B2" w:rsidP="00EC22B2">
    <w:pPr>
      <w:pStyle w:val="Sidehoved"/>
      <w:jc w:val="right"/>
      <w:rPr>
        <w:sz w:val="20"/>
        <w:szCs w:val="20"/>
        <w:lang w:val="en-US"/>
      </w:rPr>
    </w:pPr>
    <w:r w:rsidRPr="00EC22B2">
      <w:rPr>
        <w:sz w:val="20"/>
        <w:szCs w:val="20"/>
        <w:lang w:val="en-US"/>
      </w:rPr>
      <w:t xml:space="preserve">Note by Erik </w:t>
    </w:r>
    <w:r>
      <w:rPr>
        <w:sz w:val="20"/>
        <w:szCs w:val="20"/>
        <w:lang w:val="en-US"/>
      </w:rPr>
      <w:t xml:space="preserve">Sonne </w:t>
    </w:r>
    <w:r w:rsidRPr="00EC22B2">
      <w:rPr>
        <w:sz w:val="20"/>
        <w:szCs w:val="20"/>
        <w:lang w:val="en-US"/>
      </w:rPr>
      <w:t>Ravn, Danish Maritime Authority</w:t>
    </w:r>
    <w:r>
      <w:rPr>
        <w:sz w:val="20"/>
        <w:szCs w:val="20"/>
        <w:lang w:val="en-US"/>
      </w:rPr>
      <w:t>,</w:t>
    </w:r>
    <w:r w:rsidRPr="00EC22B2">
      <w:rPr>
        <w:sz w:val="20"/>
        <w:szCs w:val="20"/>
        <w:lang w:val="en-US"/>
      </w:rPr>
      <w:t xml:space="preserve"> May 2012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footnotePr>
    <w:footnote w:id="-1"/>
    <w:footnote w:id="0"/>
  </w:footnotePr>
  <w:endnotePr>
    <w:endnote w:id="-1"/>
    <w:endnote w:id="0"/>
  </w:endnotePr>
  <w:compat/>
  <w:rsids>
    <w:rsidRoot w:val="00CA5D6C"/>
    <w:rsid w:val="00014FF2"/>
    <w:rsid w:val="0005306F"/>
    <w:rsid w:val="00081D4D"/>
    <w:rsid w:val="00087CFF"/>
    <w:rsid w:val="000D1CF3"/>
    <w:rsid w:val="001119D8"/>
    <w:rsid w:val="0014553B"/>
    <w:rsid w:val="00163E19"/>
    <w:rsid w:val="00174D1D"/>
    <w:rsid w:val="00200C38"/>
    <w:rsid w:val="002253B1"/>
    <w:rsid w:val="0024093B"/>
    <w:rsid w:val="00240A76"/>
    <w:rsid w:val="0024450F"/>
    <w:rsid w:val="002528FC"/>
    <w:rsid w:val="0026408A"/>
    <w:rsid w:val="0029691E"/>
    <w:rsid w:val="002F4F58"/>
    <w:rsid w:val="00320C16"/>
    <w:rsid w:val="00326FF4"/>
    <w:rsid w:val="00371AFB"/>
    <w:rsid w:val="003C55D0"/>
    <w:rsid w:val="00451990"/>
    <w:rsid w:val="00466C20"/>
    <w:rsid w:val="00475473"/>
    <w:rsid w:val="004F0485"/>
    <w:rsid w:val="005310DE"/>
    <w:rsid w:val="005C2E91"/>
    <w:rsid w:val="006C2FDB"/>
    <w:rsid w:val="006D3DB3"/>
    <w:rsid w:val="007034F3"/>
    <w:rsid w:val="00736E43"/>
    <w:rsid w:val="007472AC"/>
    <w:rsid w:val="00856BFA"/>
    <w:rsid w:val="00862866"/>
    <w:rsid w:val="008A6E69"/>
    <w:rsid w:val="0095474F"/>
    <w:rsid w:val="00AD3F40"/>
    <w:rsid w:val="00BA4964"/>
    <w:rsid w:val="00BD59A8"/>
    <w:rsid w:val="00C444A2"/>
    <w:rsid w:val="00C45DFB"/>
    <w:rsid w:val="00C77563"/>
    <w:rsid w:val="00CA5D6C"/>
    <w:rsid w:val="00CC01BE"/>
    <w:rsid w:val="00CD2DB0"/>
    <w:rsid w:val="00CF3023"/>
    <w:rsid w:val="00D8675F"/>
    <w:rsid w:val="00DC1AFF"/>
    <w:rsid w:val="00DD5B05"/>
    <w:rsid w:val="00DD5F47"/>
    <w:rsid w:val="00DD6B30"/>
    <w:rsid w:val="00E64283"/>
    <w:rsid w:val="00EC22B2"/>
    <w:rsid w:val="00F47A4A"/>
    <w:rsid w:val="00F5452C"/>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BFA"/>
  </w:style>
  <w:style w:type="paragraph" w:styleId="Overskrift1">
    <w:name w:val="heading 1"/>
    <w:basedOn w:val="Normal"/>
    <w:next w:val="Normal"/>
    <w:link w:val="Overskrift1Tegn"/>
    <w:uiPriority w:val="9"/>
    <w:qFormat/>
    <w:rsid w:val="000530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05306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CA5D6C"/>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CA5D6C"/>
    <w:rPr>
      <w:rFonts w:ascii="Tahoma" w:hAnsi="Tahoma" w:cs="Tahoma"/>
      <w:sz w:val="16"/>
      <w:szCs w:val="16"/>
    </w:rPr>
  </w:style>
  <w:style w:type="paragraph" w:styleId="Fodnotetekst">
    <w:name w:val="footnote text"/>
    <w:basedOn w:val="Normal"/>
    <w:link w:val="FodnotetekstTegn"/>
    <w:uiPriority w:val="99"/>
    <w:semiHidden/>
    <w:unhideWhenUsed/>
    <w:rsid w:val="00F47A4A"/>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F47A4A"/>
    <w:rPr>
      <w:sz w:val="20"/>
      <w:szCs w:val="20"/>
    </w:rPr>
  </w:style>
  <w:style w:type="character" w:styleId="Fodnotehenvisning">
    <w:name w:val="footnote reference"/>
    <w:basedOn w:val="Standardskrifttypeiafsnit"/>
    <w:uiPriority w:val="99"/>
    <w:semiHidden/>
    <w:unhideWhenUsed/>
    <w:rsid w:val="00F47A4A"/>
    <w:rPr>
      <w:vertAlign w:val="superscript"/>
    </w:rPr>
  </w:style>
  <w:style w:type="character" w:styleId="Hyperlink">
    <w:name w:val="Hyperlink"/>
    <w:basedOn w:val="Standardskrifttypeiafsnit"/>
    <w:uiPriority w:val="99"/>
    <w:unhideWhenUsed/>
    <w:rsid w:val="00F47A4A"/>
    <w:rPr>
      <w:color w:val="0000FF" w:themeColor="hyperlink"/>
      <w:u w:val="single"/>
    </w:rPr>
  </w:style>
  <w:style w:type="table" w:styleId="Tabel-Gitter">
    <w:name w:val="Table Grid"/>
    <w:basedOn w:val="Tabel-Normal"/>
    <w:uiPriority w:val="59"/>
    <w:rsid w:val="00371A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verskrift1Tegn">
    <w:name w:val="Overskrift 1 Tegn"/>
    <w:basedOn w:val="Standardskrifttypeiafsnit"/>
    <w:link w:val="Overskrift1"/>
    <w:uiPriority w:val="9"/>
    <w:rsid w:val="0005306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05306F"/>
    <w:rPr>
      <w:rFonts w:asciiTheme="majorHAnsi" w:eastAsiaTheme="majorEastAsia" w:hAnsiTheme="majorHAnsi" w:cstheme="majorBidi"/>
      <w:b/>
      <w:bCs/>
      <w:color w:val="4F81BD" w:themeColor="accent1"/>
      <w:sz w:val="26"/>
      <w:szCs w:val="26"/>
    </w:rPr>
  </w:style>
  <w:style w:type="paragraph" w:styleId="Titel">
    <w:name w:val="Title"/>
    <w:basedOn w:val="Normal"/>
    <w:next w:val="Normal"/>
    <w:link w:val="TitelTegn"/>
    <w:uiPriority w:val="10"/>
    <w:qFormat/>
    <w:rsid w:val="00EC22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EC22B2"/>
    <w:rPr>
      <w:rFonts w:asciiTheme="majorHAnsi" w:eastAsiaTheme="majorEastAsia" w:hAnsiTheme="majorHAnsi" w:cstheme="majorBidi"/>
      <w:color w:val="17365D" w:themeColor="text2" w:themeShade="BF"/>
      <w:spacing w:val="5"/>
      <w:kern w:val="28"/>
      <w:sz w:val="52"/>
      <w:szCs w:val="52"/>
    </w:rPr>
  </w:style>
  <w:style w:type="paragraph" w:styleId="Sidehoved">
    <w:name w:val="header"/>
    <w:basedOn w:val="Normal"/>
    <w:link w:val="SidehovedTegn"/>
    <w:uiPriority w:val="99"/>
    <w:semiHidden/>
    <w:unhideWhenUsed/>
    <w:rsid w:val="00EC22B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semiHidden/>
    <w:rsid w:val="00EC22B2"/>
  </w:style>
  <w:style w:type="paragraph" w:styleId="Sidefod">
    <w:name w:val="footer"/>
    <w:basedOn w:val="Normal"/>
    <w:link w:val="SidefodTegn"/>
    <w:uiPriority w:val="99"/>
    <w:unhideWhenUsed/>
    <w:rsid w:val="00EC22B2"/>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EC22B2"/>
  </w:style>
</w:styles>
</file>

<file path=word/webSettings.xml><?xml version="1.0" encoding="utf-8"?>
<w:webSettings xmlns:r="http://schemas.openxmlformats.org/officeDocument/2006/relationships" xmlns:w="http://schemas.openxmlformats.org/wordprocessingml/2006/main">
  <w:divs>
    <w:div w:id="233325158">
      <w:bodyDiv w:val="1"/>
      <w:marLeft w:val="0"/>
      <w:marRight w:val="0"/>
      <w:marTop w:val="0"/>
      <w:marBottom w:val="0"/>
      <w:divBdr>
        <w:top w:val="none" w:sz="0" w:space="0" w:color="auto"/>
        <w:left w:val="none" w:sz="0" w:space="0" w:color="auto"/>
        <w:bottom w:val="none" w:sz="0" w:space="0" w:color="auto"/>
        <w:right w:val="none" w:sz="0" w:space="0" w:color="auto"/>
      </w:divBdr>
    </w:div>
    <w:div w:id="554394851">
      <w:bodyDiv w:val="1"/>
      <w:marLeft w:val="0"/>
      <w:marRight w:val="0"/>
      <w:marTop w:val="0"/>
      <w:marBottom w:val="0"/>
      <w:divBdr>
        <w:top w:val="none" w:sz="0" w:space="0" w:color="auto"/>
        <w:left w:val="none" w:sz="0" w:space="0" w:color="auto"/>
        <w:bottom w:val="none" w:sz="0" w:space="0" w:color="auto"/>
        <w:right w:val="none" w:sz="0" w:space="0" w:color="auto"/>
      </w:divBdr>
    </w:div>
    <w:div w:id="837423235">
      <w:bodyDiv w:val="1"/>
      <w:marLeft w:val="0"/>
      <w:marRight w:val="0"/>
      <w:marTop w:val="0"/>
      <w:marBottom w:val="0"/>
      <w:divBdr>
        <w:top w:val="none" w:sz="0" w:space="0" w:color="auto"/>
        <w:left w:val="none" w:sz="0" w:space="0" w:color="auto"/>
        <w:bottom w:val="none" w:sz="0" w:space="0" w:color="auto"/>
        <w:right w:val="none" w:sz="0" w:space="0" w:color="auto"/>
      </w:divBdr>
    </w:div>
    <w:div w:id="943849814">
      <w:bodyDiv w:val="1"/>
      <w:marLeft w:val="0"/>
      <w:marRight w:val="0"/>
      <w:marTop w:val="0"/>
      <w:marBottom w:val="0"/>
      <w:divBdr>
        <w:top w:val="none" w:sz="0" w:space="0" w:color="auto"/>
        <w:left w:val="none" w:sz="0" w:space="0" w:color="auto"/>
        <w:bottom w:val="none" w:sz="0" w:space="0" w:color="auto"/>
        <w:right w:val="none" w:sz="0" w:space="0" w:color="auto"/>
      </w:divBdr>
    </w:div>
    <w:div w:id="1030692005">
      <w:bodyDiv w:val="1"/>
      <w:marLeft w:val="0"/>
      <w:marRight w:val="0"/>
      <w:marTop w:val="0"/>
      <w:marBottom w:val="0"/>
      <w:divBdr>
        <w:top w:val="none" w:sz="0" w:space="0" w:color="auto"/>
        <w:left w:val="none" w:sz="0" w:space="0" w:color="auto"/>
        <w:bottom w:val="none" w:sz="0" w:space="0" w:color="auto"/>
        <w:right w:val="none" w:sz="0" w:space="0" w:color="auto"/>
      </w:divBdr>
    </w:div>
    <w:div w:id="1098017538">
      <w:bodyDiv w:val="1"/>
      <w:marLeft w:val="0"/>
      <w:marRight w:val="0"/>
      <w:marTop w:val="0"/>
      <w:marBottom w:val="0"/>
      <w:divBdr>
        <w:top w:val="none" w:sz="0" w:space="0" w:color="auto"/>
        <w:left w:val="none" w:sz="0" w:space="0" w:color="auto"/>
        <w:bottom w:val="none" w:sz="0" w:space="0" w:color="auto"/>
        <w:right w:val="none" w:sz="0" w:space="0" w:color="auto"/>
      </w:divBdr>
    </w:div>
    <w:div w:id="1201625116">
      <w:bodyDiv w:val="1"/>
      <w:marLeft w:val="0"/>
      <w:marRight w:val="0"/>
      <w:marTop w:val="0"/>
      <w:marBottom w:val="0"/>
      <w:divBdr>
        <w:top w:val="none" w:sz="0" w:space="0" w:color="auto"/>
        <w:left w:val="none" w:sz="0" w:space="0" w:color="auto"/>
        <w:bottom w:val="none" w:sz="0" w:space="0" w:color="auto"/>
        <w:right w:val="none" w:sz="0" w:space="0" w:color="auto"/>
      </w:divBdr>
    </w:div>
    <w:div w:id="1449856189">
      <w:bodyDiv w:val="1"/>
      <w:marLeft w:val="0"/>
      <w:marRight w:val="0"/>
      <w:marTop w:val="0"/>
      <w:marBottom w:val="0"/>
      <w:divBdr>
        <w:top w:val="none" w:sz="0" w:space="0" w:color="auto"/>
        <w:left w:val="none" w:sz="0" w:space="0" w:color="auto"/>
        <w:bottom w:val="none" w:sz="0" w:space="0" w:color="auto"/>
        <w:right w:val="none" w:sz="0" w:space="0" w:color="auto"/>
      </w:divBdr>
    </w:div>
    <w:div w:id="1658460183">
      <w:bodyDiv w:val="1"/>
      <w:marLeft w:val="0"/>
      <w:marRight w:val="0"/>
      <w:marTop w:val="0"/>
      <w:marBottom w:val="0"/>
      <w:divBdr>
        <w:top w:val="none" w:sz="0" w:space="0" w:color="auto"/>
        <w:left w:val="none" w:sz="0" w:space="0" w:color="auto"/>
        <w:bottom w:val="none" w:sz="0" w:space="0" w:color="auto"/>
        <w:right w:val="none" w:sz="0" w:space="0" w:color="auto"/>
      </w:divBdr>
    </w:div>
    <w:div w:id="1777599746">
      <w:bodyDiv w:val="1"/>
      <w:marLeft w:val="0"/>
      <w:marRight w:val="0"/>
      <w:marTop w:val="0"/>
      <w:marBottom w:val="0"/>
      <w:divBdr>
        <w:top w:val="none" w:sz="0" w:space="0" w:color="auto"/>
        <w:left w:val="none" w:sz="0" w:space="0" w:color="auto"/>
        <w:bottom w:val="none" w:sz="0" w:space="0" w:color="auto"/>
        <w:right w:val="none" w:sz="0" w:space="0" w:color="auto"/>
      </w:divBdr>
    </w:div>
    <w:div w:id="1857888284">
      <w:bodyDiv w:val="1"/>
      <w:marLeft w:val="0"/>
      <w:marRight w:val="0"/>
      <w:marTop w:val="0"/>
      <w:marBottom w:val="0"/>
      <w:divBdr>
        <w:top w:val="none" w:sz="0" w:space="0" w:color="auto"/>
        <w:left w:val="none" w:sz="0" w:space="0" w:color="auto"/>
        <w:bottom w:val="none" w:sz="0" w:space="0" w:color="auto"/>
        <w:right w:val="none" w:sz="0" w:space="0" w:color="auto"/>
      </w:divBdr>
    </w:div>
    <w:div w:id="20320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alathree.org/iwrap"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6D94-13B7-47BE-9F18-C15D6A42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599</Words>
  <Characters>3656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Farvandsvæsenet</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Sonne Ravn</dc:creator>
  <cp:lastModifiedBy>Bjarke W. Bøtcher</cp:lastModifiedBy>
  <cp:revision>4</cp:revision>
  <dcterms:created xsi:type="dcterms:W3CDTF">2012-05-11T13:10:00Z</dcterms:created>
  <dcterms:modified xsi:type="dcterms:W3CDTF">2012-05-17T14:13:00Z</dcterms:modified>
</cp:coreProperties>
</file>